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825387">
      <w:pPr>
        <w:pStyle w:val="2"/>
        <w:keepNext w:val="0"/>
        <w:keepLines w:val="0"/>
        <w:widowControl/>
        <w:suppressLineNumbers w:val="0"/>
        <w:ind w:left="0" w:firstLine="0"/>
        <w:jc w:val="center"/>
        <w:rPr>
          <w:rFonts w:hint="default" w:ascii="Arial" w:hAnsi="Arial" w:cs="Arial"/>
          <w:i w:val="0"/>
          <w:iCs w:val="0"/>
          <w:caps w:val="0"/>
          <w:color w:val="222222"/>
          <w:spacing w:val="0"/>
        </w:rPr>
      </w:pPr>
      <w:r>
        <w:rPr>
          <w:rFonts w:hint="default" w:ascii="Arial" w:hAnsi="Arial" w:cs="Arial"/>
          <w:i w:val="0"/>
          <w:iCs w:val="0"/>
          <w:caps w:val="0"/>
          <w:color w:val="222222"/>
          <w:spacing w:val="0"/>
        </w:rPr>
        <w:t>长乐山工业园2021年度部门决算</w:t>
      </w:r>
    </w:p>
    <w:p w14:paraId="5546B8B8">
      <w:pPr>
        <w:pStyle w:val="2"/>
        <w:keepNext w:val="0"/>
        <w:keepLines w:val="0"/>
        <w:widowControl/>
        <w:suppressLineNumbers w:val="0"/>
        <w:ind w:left="0" w:firstLine="0"/>
        <w:jc w:val="center"/>
        <w:rPr>
          <w:rFonts w:ascii="Arial" w:hAnsi="Arial" w:cs="Arial"/>
          <w:i w:val="0"/>
          <w:iCs w:val="0"/>
          <w:caps w:val="0"/>
          <w:color w:val="222222"/>
          <w:spacing w:val="0"/>
        </w:rPr>
      </w:pPr>
      <w:r>
        <w:rPr>
          <w:rFonts w:hint="default" w:ascii="Arial" w:hAnsi="Arial" w:cs="Arial"/>
          <w:i w:val="0"/>
          <w:iCs w:val="0"/>
          <w:caps w:val="0"/>
          <w:color w:val="222222"/>
          <w:spacing w:val="0"/>
        </w:rPr>
        <w:t>公开说明</w:t>
      </w:r>
    </w:p>
    <w:p w14:paraId="69EB8767">
      <w:pPr>
        <w:keepNext w:val="0"/>
        <w:keepLines w:val="0"/>
        <w:widowControl/>
        <w:suppressLineNumbers w:val="0"/>
        <w:ind w:left="0" w:firstLine="0"/>
        <w:jc w:val="left"/>
        <w:rPr>
          <w:rFonts w:hint="default" w:ascii="Arial" w:hAnsi="Arial" w:cs="Arial"/>
          <w:i w:val="0"/>
          <w:iCs w:val="0"/>
          <w:caps w:val="0"/>
          <w:color w:val="222222"/>
          <w:spacing w:val="0"/>
          <w:sz w:val="12"/>
          <w:szCs w:val="12"/>
        </w:rPr>
      </w:pPr>
    </w:p>
    <w:p w14:paraId="67293733">
      <w:pPr>
        <w:pStyle w:val="3"/>
        <w:keepNext w:val="0"/>
        <w:keepLines w:val="0"/>
        <w:widowControl/>
        <w:suppressLineNumbers w:val="0"/>
        <w:ind w:left="0" w:firstLine="0"/>
        <w:jc w:val="center"/>
        <w:rPr>
          <w:rFonts w:hint="default" w:ascii="Arial" w:hAnsi="Arial" w:cs="Arial"/>
          <w:i w:val="0"/>
          <w:iCs w:val="0"/>
          <w:caps w:val="0"/>
          <w:color w:val="222222"/>
          <w:spacing w:val="0"/>
          <w:sz w:val="36"/>
          <w:szCs w:val="36"/>
        </w:rPr>
      </w:pPr>
      <w:r>
        <w:rPr>
          <w:rFonts w:hint="default" w:ascii="Arial" w:hAnsi="Arial" w:cs="Arial"/>
          <w:i w:val="0"/>
          <w:iCs w:val="0"/>
          <w:caps w:val="0"/>
          <w:color w:val="222222"/>
          <w:spacing w:val="0"/>
        </w:rPr>
        <w:t> </w:t>
      </w:r>
      <w:r>
        <w:rPr>
          <w:rFonts w:hint="default" w:ascii="Arial" w:hAnsi="Arial" w:cs="Arial"/>
          <w:i w:val="0"/>
          <w:iCs w:val="0"/>
          <w:caps w:val="0"/>
          <w:color w:val="222222"/>
          <w:spacing w:val="0"/>
          <w:sz w:val="36"/>
          <w:szCs w:val="36"/>
        </w:rPr>
        <w:t>目  录</w:t>
      </w:r>
    </w:p>
    <w:p w14:paraId="76F50579">
      <w:pPr>
        <w:keepNext w:val="0"/>
        <w:keepLines w:val="0"/>
        <w:widowControl/>
        <w:suppressLineNumbers w:val="0"/>
        <w:ind w:left="0" w:firstLine="0"/>
        <w:jc w:val="left"/>
        <w:rPr>
          <w:rFonts w:hint="default" w:ascii="Arial" w:hAnsi="Arial" w:cs="Arial"/>
          <w:i w:val="0"/>
          <w:iCs w:val="0"/>
          <w:caps w:val="0"/>
          <w:color w:val="222222"/>
          <w:spacing w:val="0"/>
          <w:sz w:val="12"/>
          <w:szCs w:val="12"/>
        </w:rPr>
      </w:pPr>
    </w:p>
    <w:p w14:paraId="0891E5E7">
      <w:pPr>
        <w:pStyle w:val="5"/>
        <w:keepNext w:val="0"/>
        <w:keepLines w:val="0"/>
        <w:widowControl/>
        <w:suppressLineNumbers w:val="0"/>
        <w:spacing w:after="240" w:afterAutospacing="0"/>
        <w:ind w:left="0" w:firstLine="0"/>
        <w:rPr>
          <w:rFonts w:hint="default" w:ascii="Arial" w:hAnsi="Arial" w:cs="Arial"/>
          <w:i w:val="0"/>
          <w:iCs w:val="0"/>
          <w:caps w:val="0"/>
          <w:color w:val="222222"/>
          <w:spacing w:val="0"/>
          <w:sz w:val="30"/>
          <w:szCs w:val="30"/>
        </w:rPr>
      </w:pPr>
      <w:r>
        <w:rPr>
          <w:rFonts w:hint="default" w:ascii="Arial" w:hAnsi="Arial" w:cs="Arial"/>
          <w:i w:val="0"/>
          <w:iCs w:val="0"/>
          <w:caps w:val="0"/>
          <w:color w:val="222222"/>
          <w:spacing w:val="0"/>
        </w:rPr>
        <w:br w:type="textWrapping"/>
      </w:r>
      <w:r>
        <w:rPr>
          <w:rFonts w:hint="default" w:ascii="Arial" w:hAnsi="Arial" w:cs="Arial"/>
          <w:i w:val="0"/>
          <w:iCs w:val="0"/>
          <w:caps w:val="0"/>
          <w:color w:val="222222"/>
          <w:spacing w:val="0"/>
          <w:sz w:val="30"/>
          <w:szCs w:val="30"/>
        </w:rPr>
        <w:t>一、部门主要职责</w:t>
      </w:r>
      <w:r>
        <w:rPr>
          <w:rFonts w:hint="default" w:ascii="Arial" w:hAnsi="Arial" w:cs="Arial"/>
          <w:i w:val="0"/>
          <w:iCs w:val="0"/>
          <w:caps w:val="0"/>
          <w:color w:val="222222"/>
          <w:spacing w:val="0"/>
          <w:sz w:val="30"/>
          <w:szCs w:val="30"/>
        </w:rPr>
        <w:br w:type="textWrapping"/>
      </w:r>
      <w:r>
        <w:rPr>
          <w:rFonts w:hint="default" w:ascii="Arial" w:hAnsi="Arial" w:cs="Arial"/>
          <w:i w:val="0"/>
          <w:iCs w:val="0"/>
          <w:caps w:val="0"/>
          <w:color w:val="222222"/>
          <w:spacing w:val="0"/>
          <w:sz w:val="30"/>
          <w:szCs w:val="30"/>
        </w:rPr>
        <w:t>二、部门机构设置情况</w:t>
      </w:r>
      <w:r>
        <w:rPr>
          <w:rFonts w:hint="default" w:ascii="Arial" w:hAnsi="Arial" w:cs="Arial"/>
          <w:i w:val="0"/>
          <w:iCs w:val="0"/>
          <w:caps w:val="0"/>
          <w:color w:val="222222"/>
          <w:spacing w:val="0"/>
          <w:sz w:val="30"/>
          <w:szCs w:val="30"/>
        </w:rPr>
        <w:br w:type="textWrapping"/>
      </w:r>
      <w:r>
        <w:rPr>
          <w:rFonts w:hint="default" w:ascii="Arial" w:hAnsi="Arial" w:cs="Arial"/>
          <w:i w:val="0"/>
          <w:iCs w:val="0"/>
          <w:caps w:val="0"/>
          <w:color w:val="222222"/>
          <w:spacing w:val="0"/>
          <w:sz w:val="30"/>
          <w:szCs w:val="30"/>
        </w:rPr>
        <w:t>三、2021年度部门决算情况说明</w:t>
      </w:r>
      <w:r>
        <w:rPr>
          <w:rFonts w:hint="default" w:ascii="Arial" w:hAnsi="Arial" w:cs="Arial"/>
          <w:i w:val="0"/>
          <w:iCs w:val="0"/>
          <w:caps w:val="0"/>
          <w:color w:val="222222"/>
          <w:spacing w:val="0"/>
          <w:sz w:val="30"/>
          <w:szCs w:val="30"/>
        </w:rPr>
        <w:br w:type="textWrapping"/>
      </w:r>
      <w:r>
        <w:rPr>
          <w:rFonts w:hint="default" w:ascii="Arial" w:hAnsi="Arial" w:cs="Arial"/>
          <w:i w:val="0"/>
          <w:iCs w:val="0"/>
          <w:caps w:val="0"/>
          <w:color w:val="222222"/>
          <w:spacing w:val="0"/>
          <w:sz w:val="30"/>
          <w:szCs w:val="30"/>
        </w:rPr>
        <w:t>（一）收支决算的总体情况</w:t>
      </w:r>
      <w:r>
        <w:rPr>
          <w:rFonts w:hint="default" w:ascii="Arial" w:hAnsi="Arial" w:cs="Arial"/>
          <w:i w:val="0"/>
          <w:iCs w:val="0"/>
          <w:caps w:val="0"/>
          <w:color w:val="222222"/>
          <w:spacing w:val="0"/>
          <w:sz w:val="30"/>
          <w:szCs w:val="30"/>
        </w:rPr>
        <w:br w:type="textWrapping"/>
      </w:r>
      <w:r>
        <w:rPr>
          <w:rFonts w:hint="default" w:ascii="Arial" w:hAnsi="Arial" w:cs="Arial"/>
          <w:i w:val="0"/>
          <w:iCs w:val="0"/>
          <w:caps w:val="0"/>
          <w:color w:val="222222"/>
          <w:spacing w:val="0"/>
          <w:sz w:val="30"/>
          <w:szCs w:val="30"/>
        </w:rPr>
        <w:t>（二）决算收入增减变化情况</w:t>
      </w:r>
      <w:r>
        <w:rPr>
          <w:rFonts w:hint="default" w:ascii="Arial" w:hAnsi="Arial" w:cs="Arial"/>
          <w:i w:val="0"/>
          <w:iCs w:val="0"/>
          <w:caps w:val="0"/>
          <w:color w:val="222222"/>
          <w:spacing w:val="0"/>
          <w:sz w:val="30"/>
          <w:szCs w:val="30"/>
        </w:rPr>
        <w:br w:type="textWrapping"/>
      </w:r>
      <w:r>
        <w:rPr>
          <w:rFonts w:hint="default" w:ascii="Arial" w:hAnsi="Arial" w:cs="Arial"/>
          <w:i w:val="0"/>
          <w:iCs w:val="0"/>
          <w:caps w:val="0"/>
          <w:color w:val="222222"/>
          <w:spacing w:val="0"/>
          <w:sz w:val="30"/>
          <w:szCs w:val="30"/>
        </w:rPr>
        <w:t>（三）决算支出增减变化情况</w:t>
      </w:r>
      <w:r>
        <w:rPr>
          <w:rFonts w:hint="default" w:ascii="Arial" w:hAnsi="Arial" w:cs="Arial"/>
          <w:i w:val="0"/>
          <w:iCs w:val="0"/>
          <w:caps w:val="0"/>
          <w:color w:val="222222"/>
          <w:spacing w:val="0"/>
          <w:sz w:val="30"/>
          <w:szCs w:val="30"/>
        </w:rPr>
        <w:br w:type="textWrapping"/>
      </w:r>
      <w:r>
        <w:rPr>
          <w:rFonts w:hint="default" w:ascii="Arial" w:hAnsi="Arial" w:cs="Arial"/>
          <w:i w:val="0"/>
          <w:iCs w:val="0"/>
          <w:caps w:val="0"/>
          <w:color w:val="222222"/>
          <w:spacing w:val="0"/>
          <w:sz w:val="30"/>
          <w:szCs w:val="30"/>
        </w:rPr>
        <w:t>（四）财政拨款收入支出决算情况</w:t>
      </w:r>
      <w:r>
        <w:rPr>
          <w:rFonts w:hint="default" w:ascii="Arial" w:hAnsi="Arial" w:cs="Arial"/>
          <w:i w:val="0"/>
          <w:iCs w:val="0"/>
          <w:caps w:val="0"/>
          <w:color w:val="222222"/>
          <w:spacing w:val="0"/>
          <w:sz w:val="30"/>
          <w:szCs w:val="30"/>
        </w:rPr>
        <w:br w:type="textWrapping"/>
      </w:r>
      <w:r>
        <w:rPr>
          <w:rFonts w:hint="default" w:ascii="Arial" w:hAnsi="Arial" w:cs="Arial"/>
          <w:i w:val="0"/>
          <w:iCs w:val="0"/>
          <w:caps w:val="0"/>
          <w:color w:val="222222"/>
          <w:spacing w:val="0"/>
          <w:sz w:val="30"/>
          <w:szCs w:val="30"/>
        </w:rPr>
        <w:t>（五）一般公共预算财政拨款支出、基本支出决算情况</w:t>
      </w:r>
      <w:r>
        <w:rPr>
          <w:rFonts w:hint="default" w:ascii="Arial" w:hAnsi="Arial" w:cs="Arial"/>
          <w:i w:val="0"/>
          <w:iCs w:val="0"/>
          <w:caps w:val="0"/>
          <w:color w:val="222222"/>
          <w:spacing w:val="0"/>
          <w:sz w:val="30"/>
          <w:szCs w:val="30"/>
        </w:rPr>
        <w:br w:type="textWrapping"/>
      </w:r>
      <w:r>
        <w:rPr>
          <w:rFonts w:hint="default" w:ascii="Arial" w:hAnsi="Arial" w:cs="Arial"/>
          <w:i w:val="0"/>
          <w:iCs w:val="0"/>
          <w:caps w:val="0"/>
          <w:color w:val="222222"/>
          <w:spacing w:val="0"/>
          <w:sz w:val="30"/>
          <w:szCs w:val="30"/>
        </w:rPr>
        <w:t>（六）“三公”经费支出情况</w:t>
      </w:r>
      <w:r>
        <w:rPr>
          <w:rFonts w:hint="default" w:ascii="Arial" w:hAnsi="Arial" w:cs="Arial"/>
          <w:i w:val="0"/>
          <w:iCs w:val="0"/>
          <w:caps w:val="0"/>
          <w:color w:val="222222"/>
          <w:spacing w:val="0"/>
          <w:sz w:val="30"/>
          <w:szCs w:val="30"/>
        </w:rPr>
        <w:br w:type="textWrapping"/>
      </w:r>
      <w:r>
        <w:rPr>
          <w:rFonts w:hint="default" w:ascii="Arial" w:hAnsi="Arial" w:cs="Arial"/>
          <w:i w:val="0"/>
          <w:iCs w:val="0"/>
          <w:caps w:val="0"/>
          <w:color w:val="222222"/>
          <w:spacing w:val="0"/>
          <w:sz w:val="30"/>
          <w:szCs w:val="30"/>
        </w:rPr>
        <w:t>（七）机关运行经费支出情况</w:t>
      </w:r>
      <w:r>
        <w:rPr>
          <w:rFonts w:hint="default" w:ascii="Arial" w:hAnsi="Arial" w:cs="Arial"/>
          <w:i w:val="0"/>
          <w:iCs w:val="0"/>
          <w:caps w:val="0"/>
          <w:color w:val="222222"/>
          <w:spacing w:val="0"/>
          <w:sz w:val="30"/>
          <w:szCs w:val="30"/>
        </w:rPr>
        <w:br w:type="textWrapping"/>
      </w:r>
      <w:r>
        <w:rPr>
          <w:rFonts w:hint="default" w:ascii="Arial" w:hAnsi="Arial" w:cs="Arial"/>
          <w:i w:val="0"/>
          <w:iCs w:val="0"/>
          <w:caps w:val="0"/>
          <w:color w:val="222222"/>
          <w:spacing w:val="0"/>
          <w:sz w:val="30"/>
          <w:szCs w:val="30"/>
        </w:rPr>
        <w:t>（八）政府采购支出情况</w:t>
      </w:r>
      <w:r>
        <w:rPr>
          <w:rFonts w:hint="default" w:ascii="Arial" w:hAnsi="Arial" w:cs="Arial"/>
          <w:i w:val="0"/>
          <w:iCs w:val="0"/>
          <w:caps w:val="0"/>
          <w:color w:val="222222"/>
          <w:spacing w:val="0"/>
          <w:sz w:val="30"/>
          <w:szCs w:val="30"/>
        </w:rPr>
        <w:br w:type="textWrapping"/>
      </w:r>
      <w:r>
        <w:rPr>
          <w:rFonts w:hint="default" w:ascii="Arial" w:hAnsi="Arial" w:cs="Arial"/>
          <w:i w:val="0"/>
          <w:iCs w:val="0"/>
          <w:caps w:val="0"/>
          <w:color w:val="222222"/>
          <w:spacing w:val="0"/>
          <w:sz w:val="30"/>
          <w:szCs w:val="30"/>
        </w:rPr>
        <w:t>（九）国有资产占用情况</w:t>
      </w:r>
      <w:r>
        <w:rPr>
          <w:rFonts w:hint="default" w:ascii="Arial" w:hAnsi="Arial" w:cs="Arial"/>
          <w:i w:val="0"/>
          <w:iCs w:val="0"/>
          <w:caps w:val="0"/>
          <w:color w:val="222222"/>
          <w:spacing w:val="0"/>
          <w:sz w:val="30"/>
          <w:szCs w:val="30"/>
        </w:rPr>
        <w:br w:type="textWrapping"/>
      </w:r>
      <w:r>
        <w:rPr>
          <w:rFonts w:hint="default" w:ascii="Arial" w:hAnsi="Arial" w:cs="Arial"/>
          <w:i w:val="0"/>
          <w:iCs w:val="0"/>
          <w:caps w:val="0"/>
          <w:color w:val="222222"/>
          <w:spacing w:val="0"/>
          <w:sz w:val="30"/>
          <w:szCs w:val="30"/>
        </w:rPr>
        <w:t>（十）其他情况</w:t>
      </w:r>
      <w:r>
        <w:rPr>
          <w:rFonts w:hint="default" w:ascii="Arial" w:hAnsi="Arial" w:cs="Arial"/>
          <w:i w:val="0"/>
          <w:iCs w:val="0"/>
          <w:caps w:val="0"/>
          <w:color w:val="222222"/>
          <w:spacing w:val="0"/>
          <w:sz w:val="30"/>
          <w:szCs w:val="30"/>
        </w:rPr>
        <w:br w:type="textWrapping"/>
      </w:r>
      <w:r>
        <w:rPr>
          <w:rFonts w:hint="default" w:ascii="Arial" w:hAnsi="Arial" w:cs="Arial"/>
          <w:i w:val="0"/>
          <w:iCs w:val="0"/>
          <w:caps w:val="0"/>
          <w:color w:val="222222"/>
          <w:spacing w:val="0"/>
          <w:sz w:val="30"/>
          <w:szCs w:val="30"/>
        </w:rPr>
        <w:t>四、2021年度预算绩效情况的说明</w:t>
      </w:r>
      <w:r>
        <w:rPr>
          <w:rFonts w:hint="default" w:ascii="Arial" w:hAnsi="Arial" w:cs="Arial"/>
          <w:i w:val="0"/>
          <w:iCs w:val="0"/>
          <w:caps w:val="0"/>
          <w:color w:val="222222"/>
          <w:spacing w:val="0"/>
          <w:sz w:val="30"/>
          <w:szCs w:val="30"/>
        </w:rPr>
        <w:br w:type="textWrapping"/>
      </w:r>
      <w:r>
        <w:rPr>
          <w:rFonts w:hint="default" w:ascii="Arial" w:hAnsi="Arial" w:cs="Arial"/>
          <w:i w:val="0"/>
          <w:iCs w:val="0"/>
          <w:caps w:val="0"/>
          <w:color w:val="222222"/>
          <w:spacing w:val="0"/>
          <w:sz w:val="30"/>
          <w:szCs w:val="30"/>
        </w:rPr>
        <w:t>（一）预算绩效管理工作开展情况</w:t>
      </w:r>
      <w:r>
        <w:rPr>
          <w:rFonts w:hint="default" w:ascii="Arial" w:hAnsi="Arial" w:cs="Arial"/>
          <w:i w:val="0"/>
          <w:iCs w:val="0"/>
          <w:caps w:val="0"/>
          <w:color w:val="222222"/>
          <w:spacing w:val="0"/>
          <w:sz w:val="30"/>
          <w:szCs w:val="30"/>
        </w:rPr>
        <w:br w:type="textWrapping"/>
      </w:r>
      <w:r>
        <w:rPr>
          <w:rFonts w:hint="default" w:ascii="Arial" w:hAnsi="Arial" w:cs="Arial"/>
          <w:i w:val="0"/>
          <w:iCs w:val="0"/>
          <w:caps w:val="0"/>
          <w:color w:val="222222"/>
          <w:spacing w:val="0"/>
          <w:sz w:val="30"/>
          <w:szCs w:val="30"/>
        </w:rPr>
        <w:t>（二）部门决算中项目绩效自评结果</w:t>
      </w:r>
      <w:r>
        <w:rPr>
          <w:rFonts w:hint="default" w:ascii="Arial" w:hAnsi="Arial" w:cs="Arial"/>
          <w:i w:val="0"/>
          <w:iCs w:val="0"/>
          <w:caps w:val="0"/>
          <w:color w:val="222222"/>
          <w:spacing w:val="0"/>
          <w:sz w:val="30"/>
          <w:szCs w:val="30"/>
        </w:rPr>
        <w:br w:type="textWrapping"/>
      </w:r>
      <w:r>
        <w:rPr>
          <w:rFonts w:hint="default" w:ascii="Arial" w:hAnsi="Arial" w:cs="Arial"/>
          <w:i w:val="0"/>
          <w:iCs w:val="0"/>
          <w:caps w:val="0"/>
          <w:color w:val="222222"/>
          <w:spacing w:val="0"/>
          <w:sz w:val="30"/>
          <w:szCs w:val="30"/>
        </w:rPr>
        <w:t>（三）绩效评级结果应用情况</w:t>
      </w:r>
      <w:r>
        <w:rPr>
          <w:rFonts w:hint="default" w:ascii="Arial" w:hAnsi="Arial" w:cs="Arial"/>
          <w:i w:val="0"/>
          <w:iCs w:val="0"/>
          <w:caps w:val="0"/>
          <w:color w:val="222222"/>
          <w:spacing w:val="0"/>
          <w:sz w:val="30"/>
          <w:szCs w:val="30"/>
        </w:rPr>
        <w:br w:type="textWrapping"/>
      </w:r>
      <w:r>
        <w:rPr>
          <w:rFonts w:hint="default" w:ascii="Arial" w:hAnsi="Arial" w:cs="Arial"/>
          <w:i w:val="0"/>
          <w:iCs w:val="0"/>
          <w:caps w:val="0"/>
          <w:color w:val="222222"/>
          <w:spacing w:val="0"/>
          <w:sz w:val="30"/>
          <w:szCs w:val="30"/>
        </w:rPr>
        <w:t>五、名词解释</w:t>
      </w:r>
      <w:r>
        <w:rPr>
          <w:rFonts w:hint="default" w:ascii="Arial" w:hAnsi="Arial" w:cs="Arial"/>
          <w:i w:val="0"/>
          <w:iCs w:val="0"/>
          <w:caps w:val="0"/>
          <w:color w:val="222222"/>
          <w:spacing w:val="0"/>
          <w:sz w:val="30"/>
          <w:szCs w:val="30"/>
        </w:rPr>
        <w:br w:type="textWrapping"/>
      </w:r>
      <w:r>
        <w:rPr>
          <w:rFonts w:hint="default" w:ascii="Arial" w:hAnsi="Arial" w:cs="Arial"/>
          <w:i w:val="0"/>
          <w:iCs w:val="0"/>
          <w:caps w:val="0"/>
          <w:color w:val="222222"/>
          <w:spacing w:val="0"/>
          <w:sz w:val="30"/>
          <w:szCs w:val="30"/>
        </w:rPr>
        <w:t>六、部门2021年部门决算表</w:t>
      </w:r>
      <w:r>
        <w:rPr>
          <w:rFonts w:hint="default" w:ascii="Arial" w:hAnsi="Arial" w:cs="Arial"/>
          <w:i w:val="0"/>
          <w:iCs w:val="0"/>
          <w:caps w:val="0"/>
          <w:color w:val="222222"/>
          <w:spacing w:val="0"/>
          <w:sz w:val="30"/>
          <w:szCs w:val="30"/>
        </w:rPr>
        <w:br w:type="textWrapping"/>
      </w:r>
      <w:r>
        <w:rPr>
          <w:rFonts w:hint="default" w:ascii="Arial" w:hAnsi="Arial" w:cs="Arial"/>
          <w:i w:val="0"/>
          <w:iCs w:val="0"/>
          <w:caps w:val="0"/>
          <w:color w:val="222222"/>
          <w:spacing w:val="0"/>
          <w:sz w:val="30"/>
          <w:szCs w:val="30"/>
        </w:rPr>
        <w:t>（一）收入支出决算总表</w:t>
      </w:r>
      <w:r>
        <w:rPr>
          <w:rFonts w:hint="default" w:ascii="Arial" w:hAnsi="Arial" w:cs="Arial"/>
          <w:i w:val="0"/>
          <w:iCs w:val="0"/>
          <w:caps w:val="0"/>
          <w:color w:val="222222"/>
          <w:spacing w:val="0"/>
          <w:sz w:val="30"/>
          <w:szCs w:val="30"/>
        </w:rPr>
        <w:br w:type="textWrapping"/>
      </w:r>
      <w:r>
        <w:rPr>
          <w:rFonts w:hint="default" w:ascii="Arial" w:hAnsi="Arial" w:cs="Arial"/>
          <w:i w:val="0"/>
          <w:iCs w:val="0"/>
          <w:caps w:val="0"/>
          <w:color w:val="222222"/>
          <w:spacing w:val="0"/>
          <w:sz w:val="30"/>
          <w:szCs w:val="30"/>
        </w:rPr>
        <w:t>（二）收入决算表</w:t>
      </w:r>
      <w:r>
        <w:rPr>
          <w:rFonts w:hint="default" w:ascii="Arial" w:hAnsi="Arial" w:cs="Arial"/>
          <w:i w:val="0"/>
          <w:iCs w:val="0"/>
          <w:caps w:val="0"/>
          <w:color w:val="222222"/>
          <w:spacing w:val="0"/>
          <w:sz w:val="30"/>
          <w:szCs w:val="30"/>
        </w:rPr>
        <w:br w:type="textWrapping"/>
      </w:r>
      <w:r>
        <w:rPr>
          <w:rFonts w:hint="default" w:ascii="Arial" w:hAnsi="Arial" w:cs="Arial"/>
          <w:i w:val="0"/>
          <w:iCs w:val="0"/>
          <w:caps w:val="0"/>
          <w:color w:val="222222"/>
          <w:spacing w:val="0"/>
          <w:sz w:val="30"/>
          <w:szCs w:val="30"/>
        </w:rPr>
        <w:t>（三）支出决算表</w:t>
      </w:r>
      <w:r>
        <w:rPr>
          <w:rFonts w:hint="default" w:ascii="Arial" w:hAnsi="Arial" w:cs="Arial"/>
          <w:i w:val="0"/>
          <w:iCs w:val="0"/>
          <w:caps w:val="0"/>
          <w:color w:val="222222"/>
          <w:spacing w:val="0"/>
          <w:sz w:val="30"/>
          <w:szCs w:val="30"/>
        </w:rPr>
        <w:br w:type="textWrapping"/>
      </w:r>
      <w:r>
        <w:rPr>
          <w:rFonts w:hint="default" w:ascii="Arial" w:hAnsi="Arial" w:cs="Arial"/>
          <w:i w:val="0"/>
          <w:iCs w:val="0"/>
          <w:caps w:val="0"/>
          <w:color w:val="222222"/>
          <w:spacing w:val="0"/>
          <w:sz w:val="30"/>
          <w:szCs w:val="30"/>
        </w:rPr>
        <w:t>（四）财政拨款收入支出决算总表</w:t>
      </w:r>
      <w:r>
        <w:rPr>
          <w:rFonts w:hint="default" w:ascii="Arial" w:hAnsi="Arial" w:cs="Arial"/>
          <w:i w:val="0"/>
          <w:iCs w:val="0"/>
          <w:caps w:val="0"/>
          <w:color w:val="222222"/>
          <w:spacing w:val="0"/>
          <w:sz w:val="30"/>
          <w:szCs w:val="30"/>
        </w:rPr>
        <w:br w:type="textWrapping"/>
      </w:r>
      <w:r>
        <w:rPr>
          <w:rFonts w:hint="default" w:ascii="Arial" w:hAnsi="Arial" w:cs="Arial"/>
          <w:i w:val="0"/>
          <w:iCs w:val="0"/>
          <w:caps w:val="0"/>
          <w:color w:val="222222"/>
          <w:spacing w:val="0"/>
          <w:sz w:val="30"/>
          <w:szCs w:val="30"/>
        </w:rPr>
        <w:t>（五）一般公共预算财政拨款支出决算表</w:t>
      </w:r>
      <w:r>
        <w:rPr>
          <w:rFonts w:hint="default" w:ascii="Arial" w:hAnsi="Arial" w:cs="Arial"/>
          <w:i w:val="0"/>
          <w:iCs w:val="0"/>
          <w:caps w:val="0"/>
          <w:color w:val="222222"/>
          <w:spacing w:val="0"/>
          <w:sz w:val="30"/>
          <w:szCs w:val="30"/>
        </w:rPr>
        <w:br w:type="textWrapping"/>
      </w:r>
      <w:r>
        <w:rPr>
          <w:rFonts w:hint="default" w:ascii="Arial" w:hAnsi="Arial" w:cs="Arial"/>
          <w:i w:val="0"/>
          <w:iCs w:val="0"/>
          <w:caps w:val="0"/>
          <w:color w:val="222222"/>
          <w:spacing w:val="0"/>
          <w:sz w:val="30"/>
          <w:szCs w:val="30"/>
        </w:rPr>
        <w:t>（六）一般公共预算财政拨款基本支出决算表</w:t>
      </w:r>
      <w:r>
        <w:rPr>
          <w:rFonts w:hint="default" w:ascii="Arial" w:hAnsi="Arial" w:cs="Arial"/>
          <w:i w:val="0"/>
          <w:iCs w:val="0"/>
          <w:caps w:val="0"/>
          <w:color w:val="222222"/>
          <w:spacing w:val="0"/>
          <w:sz w:val="30"/>
          <w:szCs w:val="30"/>
        </w:rPr>
        <w:br w:type="textWrapping"/>
      </w:r>
      <w:r>
        <w:rPr>
          <w:rFonts w:hint="default" w:ascii="Arial" w:hAnsi="Arial" w:cs="Arial"/>
          <w:i w:val="0"/>
          <w:iCs w:val="0"/>
          <w:caps w:val="0"/>
          <w:color w:val="222222"/>
          <w:spacing w:val="0"/>
          <w:sz w:val="30"/>
          <w:szCs w:val="30"/>
        </w:rPr>
        <w:t>（七）一般公共预算财政拨款“三公”经费支出决算表</w:t>
      </w:r>
      <w:r>
        <w:rPr>
          <w:rFonts w:hint="default" w:ascii="Arial" w:hAnsi="Arial" w:cs="Arial"/>
          <w:i w:val="0"/>
          <w:iCs w:val="0"/>
          <w:caps w:val="0"/>
          <w:color w:val="222222"/>
          <w:spacing w:val="0"/>
          <w:sz w:val="30"/>
          <w:szCs w:val="30"/>
        </w:rPr>
        <w:br w:type="textWrapping"/>
      </w:r>
      <w:r>
        <w:rPr>
          <w:rFonts w:hint="default" w:ascii="Arial" w:hAnsi="Arial" w:cs="Arial"/>
          <w:i w:val="0"/>
          <w:iCs w:val="0"/>
          <w:caps w:val="0"/>
          <w:color w:val="222222"/>
          <w:spacing w:val="0"/>
          <w:sz w:val="30"/>
          <w:szCs w:val="30"/>
        </w:rPr>
        <w:t>（八）政府性基金预算财政拨款收入支出决算表</w:t>
      </w:r>
      <w:r>
        <w:rPr>
          <w:rFonts w:hint="default" w:ascii="Arial" w:hAnsi="Arial" w:cs="Arial"/>
          <w:i w:val="0"/>
          <w:iCs w:val="0"/>
          <w:caps w:val="0"/>
          <w:color w:val="222222"/>
          <w:spacing w:val="0"/>
          <w:sz w:val="30"/>
          <w:szCs w:val="30"/>
        </w:rPr>
        <w:br w:type="textWrapping"/>
      </w:r>
      <w:r>
        <w:rPr>
          <w:rFonts w:hint="default" w:ascii="Arial" w:hAnsi="Arial" w:cs="Arial"/>
          <w:i w:val="0"/>
          <w:iCs w:val="0"/>
          <w:caps w:val="0"/>
          <w:color w:val="222222"/>
          <w:spacing w:val="0"/>
          <w:sz w:val="30"/>
          <w:szCs w:val="30"/>
        </w:rPr>
        <w:t>（九）国有资本经营预算财政拨款支出决算表</w:t>
      </w:r>
    </w:p>
    <w:p w14:paraId="16F6BE8C">
      <w:pPr>
        <w:keepNext w:val="0"/>
        <w:keepLines w:val="0"/>
        <w:widowControl/>
        <w:suppressLineNumbers w:val="0"/>
        <w:spacing w:after="120" w:afterAutospacing="0"/>
        <w:ind w:left="0" w:firstLine="0"/>
        <w:jc w:val="left"/>
        <w:rPr>
          <w:rFonts w:hint="default" w:ascii="Arial" w:hAnsi="Arial" w:cs="Arial"/>
          <w:i w:val="0"/>
          <w:iCs w:val="0"/>
          <w:caps w:val="0"/>
          <w:color w:val="222222"/>
          <w:spacing w:val="0"/>
        </w:rPr>
      </w:pPr>
    </w:p>
    <w:p w14:paraId="06BEE45F">
      <w:pPr>
        <w:pStyle w:val="2"/>
        <w:keepNext w:val="0"/>
        <w:keepLines w:val="0"/>
        <w:widowControl/>
        <w:suppressLineNumbers w:val="0"/>
        <w:ind w:left="0" w:firstLine="0"/>
        <w:jc w:val="center"/>
        <w:rPr>
          <w:rFonts w:hint="default" w:ascii="Arial" w:hAnsi="Arial" w:cs="Arial"/>
          <w:i w:val="0"/>
          <w:iCs w:val="0"/>
          <w:caps w:val="0"/>
          <w:color w:val="222222"/>
          <w:spacing w:val="0"/>
        </w:rPr>
      </w:pPr>
      <w:r>
        <w:rPr>
          <w:rFonts w:hint="default" w:ascii="Arial" w:hAnsi="Arial" w:cs="Arial"/>
          <w:i w:val="0"/>
          <w:iCs w:val="0"/>
          <w:caps w:val="0"/>
          <w:color w:val="222222"/>
          <w:spacing w:val="0"/>
        </w:rPr>
        <w:t>长乐山工业园2021年度部门决算</w:t>
      </w:r>
    </w:p>
    <w:p w14:paraId="5C94C650">
      <w:pPr>
        <w:pStyle w:val="2"/>
        <w:keepNext w:val="0"/>
        <w:keepLines w:val="0"/>
        <w:widowControl/>
        <w:suppressLineNumbers w:val="0"/>
        <w:ind w:left="0" w:firstLine="0"/>
        <w:jc w:val="center"/>
        <w:rPr>
          <w:rFonts w:hint="default" w:ascii="Arial" w:hAnsi="Arial" w:cs="Arial"/>
          <w:i w:val="0"/>
          <w:iCs w:val="0"/>
          <w:caps w:val="0"/>
          <w:color w:val="222222"/>
          <w:spacing w:val="0"/>
        </w:rPr>
      </w:pPr>
      <w:r>
        <w:rPr>
          <w:rFonts w:hint="default" w:ascii="Arial" w:hAnsi="Arial" w:cs="Arial"/>
          <w:i w:val="0"/>
          <w:iCs w:val="0"/>
          <w:caps w:val="0"/>
          <w:color w:val="222222"/>
          <w:spacing w:val="0"/>
        </w:rPr>
        <w:t>公开说明</w:t>
      </w:r>
    </w:p>
    <w:p w14:paraId="1FCD0D3C">
      <w:pPr>
        <w:keepNext w:val="0"/>
        <w:keepLines w:val="0"/>
        <w:widowControl/>
        <w:suppressLineNumbers w:val="0"/>
        <w:spacing w:after="120" w:afterAutospacing="0"/>
        <w:ind w:left="0" w:firstLine="0"/>
        <w:jc w:val="left"/>
        <w:rPr>
          <w:rFonts w:hint="default" w:ascii="Arial" w:hAnsi="Arial" w:cs="Arial"/>
          <w:i w:val="0"/>
          <w:iCs w:val="0"/>
          <w:caps w:val="0"/>
          <w:color w:val="222222"/>
          <w:spacing w:val="0"/>
          <w:sz w:val="12"/>
          <w:szCs w:val="12"/>
        </w:rPr>
      </w:pPr>
      <w:r>
        <w:rPr>
          <w:rFonts w:hint="default" w:ascii="Arial" w:hAnsi="Arial" w:eastAsia="宋体" w:cs="Arial"/>
          <w:i w:val="0"/>
          <w:iCs w:val="0"/>
          <w:caps w:val="0"/>
          <w:color w:val="222222"/>
          <w:spacing w:val="0"/>
          <w:kern w:val="0"/>
          <w:sz w:val="12"/>
          <w:szCs w:val="12"/>
          <w:lang w:val="en-US" w:eastAsia="zh-CN" w:bidi="ar"/>
        </w:rPr>
        <w:t> </w:t>
      </w:r>
    </w:p>
    <w:p w14:paraId="3F517062">
      <w:pPr>
        <w:pStyle w:val="3"/>
        <w:keepNext w:val="0"/>
        <w:keepLines w:val="0"/>
        <w:widowControl/>
        <w:suppressLineNumbers w:val="0"/>
        <w:ind w:left="0" w:firstLine="0"/>
        <w:rPr>
          <w:rFonts w:hint="default" w:ascii="Arial" w:hAnsi="Arial" w:cs="Arial"/>
          <w:i w:val="0"/>
          <w:iCs w:val="0"/>
          <w:caps w:val="0"/>
          <w:color w:val="222222"/>
          <w:spacing w:val="0"/>
        </w:rPr>
      </w:pPr>
      <w:r>
        <w:rPr>
          <w:rStyle w:val="8"/>
          <w:rFonts w:hint="default" w:ascii="Arial" w:hAnsi="Arial" w:cs="Arial"/>
          <w:b/>
          <w:i w:val="0"/>
          <w:iCs w:val="0"/>
          <w:caps w:val="0"/>
          <w:color w:val="222222"/>
          <w:spacing w:val="0"/>
        </w:rPr>
        <w:t>一、</w:t>
      </w:r>
      <w:r>
        <w:rPr>
          <w:rFonts w:hint="default" w:ascii="Arial" w:hAnsi="Arial" w:cs="Arial"/>
          <w:i w:val="0"/>
          <w:iCs w:val="0"/>
          <w:caps w:val="0"/>
          <w:color w:val="222222"/>
          <w:spacing w:val="0"/>
        </w:rPr>
        <w:t>部门职责</w:t>
      </w:r>
    </w:p>
    <w:p w14:paraId="1807669D">
      <w:pPr>
        <w:keepNext w:val="0"/>
        <w:keepLines w:val="0"/>
        <w:widowControl/>
        <w:suppressLineNumbers w:val="0"/>
        <w:ind w:left="0" w:firstLine="0"/>
        <w:jc w:val="left"/>
        <w:rPr>
          <w:rFonts w:hint="default" w:ascii="Arial" w:hAnsi="Arial" w:cs="Arial"/>
          <w:i w:val="0"/>
          <w:iCs w:val="0"/>
          <w:caps w:val="0"/>
          <w:color w:val="222222"/>
          <w:spacing w:val="0"/>
          <w:sz w:val="12"/>
          <w:szCs w:val="12"/>
        </w:rPr>
      </w:pPr>
      <w:r>
        <w:rPr>
          <w:rFonts w:hint="default" w:ascii="Arial" w:hAnsi="Arial" w:eastAsia="宋体" w:cs="Arial"/>
          <w:i w:val="0"/>
          <w:iCs w:val="0"/>
          <w:caps w:val="0"/>
          <w:color w:val="222222"/>
          <w:spacing w:val="0"/>
          <w:kern w:val="0"/>
          <w:sz w:val="30"/>
          <w:szCs w:val="30"/>
          <w:lang w:val="en-US" w:eastAsia="zh-CN" w:bidi="ar"/>
        </w:rPr>
        <w:t>1、贯彻落实国家、省、市相关法律、法规、政策和区委、区政府的重大决策及工作部署，领导和组织辖区内各项工作，认真履行各项管理职能。</w:t>
      </w:r>
      <w:r>
        <w:rPr>
          <w:rFonts w:hint="default" w:ascii="Arial" w:hAnsi="Arial" w:eastAsia="宋体" w:cs="Arial"/>
          <w:i w:val="0"/>
          <w:iCs w:val="0"/>
          <w:caps w:val="0"/>
          <w:color w:val="222222"/>
          <w:spacing w:val="0"/>
          <w:kern w:val="0"/>
          <w:sz w:val="30"/>
          <w:szCs w:val="30"/>
          <w:lang w:val="en-US" w:eastAsia="zh-CN" w:bidi="ar"/>
        </w:rPr>
        <w:br w:type="textWrapping"/>
      </w:r>
      <w:r>
        <w:rPr>
          <w:rFonts w:hint="default" w:ascii="Arial" w:hAnsi="Arial" w:eastAsia="宋体" w:cs="Arial"/>
          <w:i w:val="0"/>
          <w:iCs w:val="0"/>
          <w:caps w:val="0"/>
          <w:color w:val="222222"/>
          <w:spacing w:val="0"/>
          <w:kern w:val="0"/>
          <w:sz w:val="30"/>
          <w:szCs w:val="30"/>
          <w:lang w:val="en-US" w:eastAsia="zh-CN" w:bidi="ar"/>
        </w:rPr>
        <w:t>2、负责辖区党建和基层组织建设工作，加强社区党组织书记队伍，负责选配社区“两委班子”。</w:t>
      </w:r>
      <w:r>
        <w:rPr>
          <w:rFonts w:hint="default" w:ascii="Arial" w:hAnsi="Arial" w:eastAsia="宋体" w:cs="Arial"/>
          <w:i w:val="0"/>
          <w:iCs w:val="0"/>
          <w:caps w:val="0"/>
          <w:color w:val="222222"/>
          <w:spacing w:val="0"/>
          <w:kern w:val="0"/>
          <w:sz w:val="30"/>
          <w:szCs w:val="30"/>
          <w:lang w:val="en-US" w:eastAsia="zh-CN" w:bidi="ar"/>
        </w:rPr>
        <w:br w:type="textWrapping"/>
      </w:r>
      <w:r>
        <w:rPr>
          <w:rFonts w:hint="default" w:ascii="Arial" w:hAnsi="Arial" w:eastAsia="宋体" w:cs="Arial"/>
          <w:i w:val="0"/>
          <w:iCs w:val="0"/>
          <w:caps w:val="0"/>
          <w:color w:val="222222"/>
          <w:spacing w:val="0"/>
          <w:kern w:val="0"/>
          <w:sz w:val="30"/>
          <w:szCs w:val="30"/>
          <w:lang w:val="en-US" w:eastAsia="zh-CN" w:bidi="ar"/>
        </w:rPr>
        <w:t>3、负责人民武装工作；负责辖区城市管理、房屋土地征收、公共服务、民政、司法、计划生育、人社等社会管理和服务工作，指导社区居民自治组织建设。</w:t>
      </w:r>
      <w:r>
        <w:rPr>
          <w:rFonts w:hint="default" w:ascii="Arial" w:hAnsi="Arial" w:eastAsia="宋体" w:cs="Arial"/>
          <w:i w:val="0"/>
          <w:iCs w:val="0"/>
          <w:caps w:val="0"/>
          <w:color w:val="222222"/>
          <w:spacing w:val="0"/>
          <w:kern w:val="0"/>
          <w:sz w:val="30"/>
          <w:szCs w:val="30"/>
          <w:lang w:val="en-US" w:eastAsia="zh-CN" w:bidi="ar"/>
        </w:rPr>
        <w:br w:type="textWrapping"/>
      </w:r>
      <w:r>
        <w:rPr>
          <w:rFonts w:hint="default" w:ascii="Arial" w:hAnsi="Arial" w:eastAsia="宋体" w:cs="Arial"/>
          <w:i w:val="0"/>
          <w:iCs w:val="0"/>
          <w:caps w:val="0"/>
          <w:color w:val="222222"/>
          <w:spacing w:val="0"/>
          <w:kern w:val="0"/>
          <w:sz w:val="30"/>
          <w:szCs w:val="30"/>
          <w:lang w:val="en-US" w:eastAsia="zh-CN" w:bidi="ar"/>
        </w:rPr>
        <w:t>4、负责辖区社会稳定，办理群众来信来访，开展人民调解和社区网格化管理。</w:t>
      </w:r>
      <w:r>
        <w:rPr>
          <w:rFonts w:hint="default" w:ascii="Arial" w:hAnsi="Arial" w:eastAsia="宋体" w:cs="Arial"/>
          <w:i w:val="0"/>
          <w:iCs w:val="0"/>
          <w:caps w:val="0"/>
          <w:color w:val="222222"/>
          <w:spacing w:val="0"/>
          <w:kern w:val="0"/>
          <w:sz w:val="30"/>
          <w:szCs w:val="30"/>
          <w:lang w:val="en-US" w:eastAsia="zh-CN" w:bidi="ar"/>
        </w:rPr>
        <w:br w:type="textWrapping"/>
      </w:r>
      <w:r>
        <w:rPr>
          <w:rFonts w:hint="default" w:ascii="Arial" w:hAnsi="Arial" w:eastAsia="宋体" w:cs="Arial"/>
          <w:i w:val="0"/>
          <w:iCs w:val="0"/>
          <w:caps w:val="0"/>
          <w:color w:val="222222"/>
          <w:spacing w:val="0"/>
          <w:kern w:val="0"/>
          <w:sz w:val="30"/>
          <w:szCs w:val="30"/>
          <w:lang w:val="en-US" w:eastAsia="zh-CN" w:bidi="ar"/>
        </w:rPr>
        <w:t>5、监督辖区内社区资源、资产、资金的管理使用。建立健全社区财务管理制度，推进社区财务规范化管理。</w:t>
      </w:r>
      <w:r>
        <w:rPr>
          <w:rFonts w:hint="default" w:ascii="Arial" w:hAnsi="Arial" w:eastAsia="宋体" w:cs="Arial"/>
          <w:i w:val="0"/>
          <w:iCs w:val="0"/>
          <w:caps w:val="0"/>
          <w:color w:val="222222"/>
          <w:spacing w:val="0"/>
          <w:kern w:val="0"/>
          <w:sz w:val="30"/>
          <w:szCs w:val="30"/>
          <w:lang w:val="en-US" w:eastAsia="zh-CN" w:bidi="ar"/>
        </w:rPr>
        <w:br w:type="textWrapping"/>
      </w:r>
      <w:r>
        <w:rPr>
          <w:rFonts w:hint="default" w:ascii="Arial" w:hAnsi="Arial" w:eastAsia="宋体" w:cs="Arial"/>
          <w:i w:val="0"/>
          <w:iCs w:val="0"/>
          <w:caps w:val="0"/>
          <w:color w:val="222222"/>
          <w:spacing w:val="0"/>
          <w:kern w:val="0"/>
          <w:sz w:val="30"/>
          <w:szCs w:val="30"/>
          <w:lang w:val="en-US" w:eastAsia="zh-CN" w:bidi="ar"/>
        </w:rPr>
        <w:t>6、负责森林防火、防汛抗旱及安全生产工作。协助开展食品药品监管、公共卫生服务工作。</w:t>
      </w:r>
      <w:r>
        <w:rPr>
          <w:rFonts w:hint="default" w:ascii="Arial" w:hAnsi="Arial" w:eastAsia="宋体" w:cs="Arial"/>
          <w:i w:val="0"/>
          <w:iCs w:val="0"/>
          <w:caps w:val="0"/>
          <w:color w:val="222222"/>
          <w:spacing w:val="0"/>
          <w:kern w:val="0"/>
          <w:sz w:val="30"/>
          <w:szCs w:val="30"/>
          <w:lang w:val="en-US" w:eastAsia="zh-CN" w:bidi="ar"/>
        </w:rPr>
        <w:br w:type="textWrapping"/>
      </w:r>
      <w:r>
        <w:rPr>
          <w:rFonts w:hint="default" w:ascii="Arial" w:hAnsi="Arial" w:eastAsia="宋体" w:cs="Arial"/>
          <w:i w:val="0"/>
          <w:iCs w:val="0"/>
          <w:caps w:val="0"/>
          <w:color w:val="222222"/>
          <w:spacing w:val="0"/>
          <w:kern w:val="0"/>
          <w:sz w:val="30"/>
          <w:szCs w:val="30"/>
          <w:lang w:val="en-US" w:eastAsia="zh-CN" w:bidi="ar"/>
        </w:rPr>
        <w:t>7、负责协调辖区单位广泛参与社区建设及社会化管理工作，指导社区与辖区单位签订共驻共建协议，实现辖区单位与社区共驻共建、资源共享。</w:t>
      </w:r>
      <w:r>
        <w:rPr>
          <w:rFonts w:hint="default" w:ascii="Arial" w:hAnsi="Arial" w:eastAsia="宋体" w:cs="Arial"/>
          <w:i w:val="0"/>
          <w:iCs w:val="0"/>
          <w:caps w:val="0"/>
          <w:color w:val="222222"/>
          <w:spacing w:val="0"/>
          <w:kern w:val="0"/>
          <w:sz w:val="30"/>
          <w:szCs w:val="30"/>
          <w:lang w:val="en-US" w:eastAsia="zh-CN" w:bidi="ar"/>
        </w:rPr>
        <w:br w:type="textWrapping"/>
      </w:r>
      <w:r>
        <w:rPr>
          <w:rFonts w:hint="default" w:ascii="Arial" w:hAnsi="Arial" w:eastAsia="宋体" w:cs="Arial"/>
          <w:i w:val="0"/>
          <w:iCs w:val="0"/>
          <w:caps w:val="0"/>
          <w:color w:val="222222"/>
          <w:spacing w:val="0"/>
          <w:kern w:val="0"/>
          <w:sz w:val="30"/>
          <w:szCs w:val="30"/>
          <w:lang w:val="en-US" w:eastAsia="zh-CN" w:bidi="ar"/>
        </w:rPr>
        <w:t>8、指导社区整合各种资源，服务项目建设，协助城市建设；充分调动社区广大党员、群众的积极性，全面参与社区建设。</w:t>
      </w:r>
      <w:r>
        <w:rPr>
          <w:rFonts w:hint="default" w:ascii="Arial" w:hAnsi="Arial" w:eastAsia="宋体" w:cs="Arial"/>
          <w:i w:val="0"/>
          <w:iCs w:val="0"/>
          <w:caps w:val="0"/>
          <w:color w:val="222222"/>
          <w:spacing w:val="0"/>
          <w:kern w:val="0"/>
          <w:sz w:val="30"/>
          <w:szCs w:val="30"/>
          <w:lang w:val="en-US" w:eastAsia="zh-CN" w:bidi="ar"/>
        </w:rPr>
        <w:br w:type="textWrapping"/>
      </w:r>
      <w:r>
        <w:rPr>
          <w:rFonts w:hint="default" w:ascii="Arial" w:hAnsi="Arial" w:eastAsia="宋体" w:cs="Arial"/>
          <w:i w:val="0"/>
          <w:iCs w:val="0"/>
          <w:caps w:val="0"/>
          <w:color w:val="222222"/>
          <w:spacing w:val="0"/>
          <w:kern w:val="0"/>
          <w:sz w:val="30"/>
          <w:szCs w:val="30"/>
          <w:lang w:val="en-US" w:eastAsia="zh-CN" w:bidi="ar"/>
        </w:rPr>
        <w:t>9、负责园区经济发展、招商引资、洽谈跟踪及落地项目建设及协调等工作；负责还建小区建设、棚户区改造工作及园区辖区内的违章管控工作。</w:t>
      </w:r>
      <w:r>
        <w:rPr>
          <w:rFonts w:hint="default" w:ascii="Arial" w:hAnsi="Arial" w:eastAsia="宋体" w:cs="Arial"/>
          <w:i w:val="0"/>
          <w:iCs w:val="0"/>
          <w:caps w:val="0"/>
          <w:color w:val="222222"/>
          <w:spacing w:val="0"/>
          <w:kern w:val="0"/>
          <w:sz w:val="30"/>
          <w:szCs w:val="30"/>
          <w:lang w:val="en-US" w:eastAsia="zh-CN" w:bidi="ar"/>
        </w:rPr>
        <w:br w:type="textWrapping"/>
      </w:r>
      <w:r>
        <w:rPr>
          <w:rFonts w:hint="default" w:ascii="Arial" w:hAnsi="Arial" w:eastAsia="宋体" w:cs="Arial"/>
          <w:i w:val="0"/>
          <w:iCs w:val="0"/>
          <w:caps w:val="0"/>
          <w:color w:val="222222"/>
          <w:spacing w:val="0"/>
          <w:kern w:val="0"/>
          <w:sz w:val="30"/>
          <w:szCs w:val="30"/>
          <w:lang w:val="en-US" w:eastAsia="zh-CN" w:bidi="ar"/>
        </w:rPr>
        <w:t>10、完成上级交办的其他任务。</w:t>
      </w:r>
      <w:r>
        <w:rPr>
          <w:rFonts w:hint="default" w:ascii="Arial" w:hAnsi="Arial" w:eastAsia="宋体" w:cs="Arial"/>
          <w:i w:val="0"/>
          <w:iCs w:val="0"/>
          <w:caps w:val="0"/>
          <w:color w:val="222222"/>
          <w:spacing w:val="0"/>
          <w:kern w:val="0"/>
          <w:sz w:val="30"/>
          <w:szCs w:val="30"/>
          <w:lang w:val="en-US" w:eastAsia="zh-CN" w:bidi="ar"/>
        </w:rPr>
        <w:br w:type="textWrapping"/>
      </w:r>
      <w:r>
        <w:rPr>
          <w:rFonts w:hint="default" w:ascii="Arial" w:hAnsi="Arial" w:eastAsia="宋体" w:cs="Arial"/>
          <w:i w:val="0"/>
          <w:iCs w:val="0"/>
          <w:caps w:val="0"/>
          <w:color w:val="222222"/>
          <w:spacing w:val="0"/>
          <w:kern w:val="0"/>
          <w:sz w:val="14"/>
          <w:szCs w:val="14"/>
          <w:lang w:val="en-US" w:eastAsia="zh-CN" w:bidi="ar"/>
        </w:rPr>
        <w:t> </w:t>
      </w:r>
    </w:p>
    <w:p w14:paraId="18232BB8">
      <w:pPr>
        <w:pStyle w:val="3"/>
        <w:keepNext w:val="0"/>
        <w:keepLines w:val="0"/>
        <w:widowControl/>
        <w:suppressLineNumbers w:val="0"/>
        <w:ind w:left="0" w:firstLine="0"/>
        <w:rPr>
          <w:rFonts w:hint="default" w:ascii="Arial" w:hAnsi="Arial" w:cs="Arial"/>
          <w:i w:val="0"/>
          <w:iCs w:val="0"/>
          <w:caps w:val="0"/>
          <w:color w:val="222222"/>
          <w:spacing w:val="0"/>
        </w:rPr>
      </w:pPr>
      <w:r>
        <w:rPr>
          <w:rStyle w:val="8"/>
          <w:rFonts w:hint="default" w:ascii="Arial" w:hAnsi="Arial" w:cs="Arial"/>
          <w:b/>
          <w:i w:val="0"/>
          <w:iCs w:val="0"/>
          <w:caps w:val="0"/>
          <w:color w:val="222222"/>
          <w:spacing w:val="0"/>
        </w:rPr>
        <w:t>二、机构设置</w:t>
      </w:r>
    </w:p>
    <w:p w14:paraId="43E218B9">
      <w:pPr>
        <w:keepNext w:val="0"/>
        <w:keepLines w:val="0"/>
        <w:widowControl/>
        <w:suppressLineNumbers w:val="0"/>
        <w:ind w:left="0" w:firstLine="0"/>
        <w:jc w:val="left"/>
        <w:rPr>
          <w:rFonts w:hint="default" w:ascii="Arial" w:hAnsi="Arial" w:cs="Arial"/>
          <w:i w:val="0"/>
          <w:iCs w:val="0"/>
          <w:caps w:val="0"/>
          <w:color w:val="222222"/>
          <w:spacing w:val="0"/>
          <w:sz w:val="30"/>
          <w:szCs w:val="30"/>
        </w:rPr>
      </w:pPr>
      <w:r>
        <w:rPr>
          <w:rFonts w:hint="default" w:ascii="Arial" w:hAnsi="Arial" w:eastAsia="宋体" w:cs="Arial"/>
          <w:i w:val="0"/>
          <w:iCs w:val="0"/>
          <w:caps w:val="0"/>
          <w:color w:val="222222"/>
          <w:spacing w:val="0"/>
          <w:kern w:val="0"/>
          <w:sz w:val="30"/>
          <w:szCs w:val="30"/>
          <w:lang w:val="en-US" w:eastAsia="zh-CN" w:bidi="ar"/>
        </w:rPr>
        <w:t>1、机构设置情况：长乐山工业园在2010年被批准为省级工业园区，2011年3月组建，2011年7月</w:t>
      </w:r>
      <w:r>
        <w:rPr>
          <w:rFonts w:hint="eastAsia" w:ascii="Arial" w:hAnsi="Arial" w:eastAsia="宋体" w:cs="Arial"/>
          <w:i w:val="0"/>
          <w:iCs w:val="0"/>
          <w:caps w:val="0"/>
          <w:color w:val="222222"/>
          <w:spacing w:val="0"/>
          <w:kern w:val="0"/>
          <w:sz w:val="30"/>
          <w:szCs w:val="30"/>
          <w:lang w:val="en-US" w:eastAsia="zh-CN" w:bidi="ar"/>
        </w:rPr>
        <w:t>省委</w:t>
      </w:r>
      <w:bookmarkStart w:id="0" w:name="_GoBack"/>
      <w:bookmarkEnd w:id="0"/>
      <w:r>
        <w:rPr>
          <w:rFonts w:hint="default" w:ascii="Arial" w:hAnsi="Arial" w:eastAsia="宋体" w:cs="Arial"/>
          <w:i w:val="0"/>
          <w:iCs w:val="0"/>
          <w:caps w:val="0"/>
          <w:color w:val="222222"/>
          <w:spacing w:val="0"/>
          <w:kern w:val="0"/>
          <w:sz w:val="30"/>
          <w:szCs w:val="30"/>
          <w:lang w:val="en-US" w:eastAsia="zh-CN" w:bidi="ar"/>
        </w:rPr>
        <w:t>编办批复长乐山工业园区（筹）管理委员会为下陆区人民政府派出的副县级机构，2011年9月8日，园区管委会正式挂牌成立。2014年，下陆区人民政府关于进一步深化改革，加强和完善片区管理的通知文件精神，新增和加强了人民武装；维护社会稳定工作；城市管理；民政、司法、卫计、人社等社会管理和公共服务工作；财务工作；协调人大、政府工作等职能。园区内设党政办公室、政法办公室、社会事务管理办公室、城管办公室、经济发展办公室、基础设施建设办公室。</w:t>
      </w:r>
      <w:r>
        <w:rPr>
          <w:rFonts w:hint="default" w:ascii="Arial" w:hAnsi="Arial" w:eastAsia="宋体" w:cs="Arial"/>
          <w:i w:val="0"/>
          <w:iCs w:val="0"/>
          <w:caps w:val="0"/>
          <w:color w:val="222222"/>
          <w:spacing w:val="0"/>
          <w:kern w:val="0"/>
          <w:sz w:val="30"/>
          <w:szCs w:val="30"/>
          <w:lang w:val="en-US" w:eastAsia="zh-CN" w:bidi="ar"/>
        </w:rPr>
        <w:br w:type="textWrapping"/>
      </w:r>
      <w:r>
        <w:rPr>
          <w:rFonts w:hint="default" w:ascii="Arial" w:hAnsi="Arial" w:eastAsia="宋体" w:cs="Arial"/>
          <w:i w:val="0"/>
          <w:iCs w:val="0"/>
          <w:caps w:val="0"/>
          <w:color w:val="222222"/>
          <w:spacing w:val="0"/>
          <w:kern w:val="0"/>
          <w:sz w:val="30"/>
          <w:szCs w:val="30"/>
          <w:lang w:val="en-US" w:eastAsia="zh-CN" w:bidi="ar"/>
        </w:rPr>
        <w:t>2、编制情况：长乐山工业园核定编制数为11名，其中行政编制11名，事业编制0名。2021年年末在职在编人员13人（其中行政编制人员8人，事业编制人员5人），退伍安置2人，退休人员1人（已全部转入机关事业单位养老保险发放养老金）。</w:t>
      </w:r>
    </w:p>
    <w:p w14:paraId="7CBC4CC4">
      <w:pPr>
        <w:pStyle w:val="3"/>
        <w:keepNext w:val="0"/>
        <w:keepLines w:val="0"/>
        <w:widowControl/>
        <w:suppressLineNumbers w:val="0"/>
        <w:ind w:left="0" w:firstLine="0"/>
        <w:rPr>
          <w:rFonts w:hint="default" w:ascii="Arial" w:hAnsi="Arial" w:cs="Arial"/>
          <w:i w:val="0"/>
          <w:iCs w:val="0"/>
          <w:caps w:val="0"/>
          <w:color w:val="222222"/>
          <w:spacing w:val="0"/>
        </w:rPr>
      </w:pPr>
      <w:r>
        <w:rPr>
          <w:rFonts w:hint="default" w:ascii="Arial" w:hAnsi="Arial" w:cs="Arial"/>
          <w:i w:val="0"/>
          <w:iCs w:val="0"/>
          <w:caps w:val="0"/>
          <w:color w:val="222222"/>
          <w:spacing w:val="0"/>
        </w:rPr>
        <w:t>三、2021年度部门决算情况说明</w:t>
      </w:r>
    </w:p>
    <w:p w14:paraId="45A37DD9">
      <w:pPr>
        <w:pStyle w:val="4"/>
        <w:keepNext w:val="0"/>
        <w:keepLines w:val="0"/>
        <w:widowControl/>
        <w:suppressLineNumbers w:val="0"/>
        <w:ind w:left="0" w:firstLine="0"/>
        <w:rPr>
          <w:rFonts w:hint="default" w:ascii="Arial" w:hAnsi="Arial" w:cs="Arial"/>
          <w:i w:val="0"/>
          <w:iCs w:val="0"/>
          <w:caps w:val="0"/>
          <w:color w:val="222222"/>
          <w:spacing w:val="0"/>
          <w:sz w:val="30"/>
          <w:szCs w:val="30"/>
        </w:rPr>
      </w:pPr>
      <w:r>
        <w:rPr>
          <w:rFonts w:hint="default" w:ascii="Arial" w:hAnsi="Arial" w:cs="Arial"/>
          <w:i w:val="0"/>
          <w:iCs w:val="0"/>
          <w:caps w:val="0"/>
          <w:color w:val="222222"/>
          <w:spacing w:val="0"/>
          <w:sz w:val="30"/>
          <w:szCs w:val="30"/>
        </w:rPr>
        <w:t>（一）收支决算的总体情况</w:t>
      </w:r>
    </w:p>
    <w:p w14:paraId="72D2AE2F">
      <w:pPr>
        <w:keepNext w:val="0"/>
        <w:keepLines w:val="0"/>
        <w:widowControl/>
        <w:suppressLineNumbers w:val="0"/>
        <w:ind w:left="0" w:firstLine="600" w:firstLineChars="200"/>
        <w:jc w:val="left"/>
        <w:rPr>
          <w:rFonts w:hint="default" w:ascii="Arial" w:hAnsi="Arial" w:cs="Arial"/>
          <w:i w:val="0"/>
          <w:iCs w:val="0"/>
          <w:caps w:val="0"/>
          <w:color w:val="222222"/>
          <w:spacing w:val="0"/>
          <w:sz w:val="30"/>
          <w:szCs w:val="30"/>
        </w:rPr>
      </w:pPr>
      <w:r>
        <w:rPr>
          <w:rFonts w:hint="default" w:ascii="Arial" w:hAnsi="Arial" w:eastAsia="宋体" w:cs="Arial"/>
          <w:i w:val="0"/>
          <w:iCs w:val="0"/>
          <w:caps w:val="0"/>
          <w:color w:val="222222"/>
          <w:spacing w:val="0"/>
          <w:kern w:val="0"/>
          <w:sz w:val="30"/>
          <w:szCs w:val="30"/>
          <w:lang w:val="en-US" w:eastAsia="zh-CN" w:bidi="ar"/>
        </w:rPr>
        <w:t>长乐山工业园2021年度决算总收入合计3376.35万元，其中：财政拨款收入2534.96万元，占总收入的75.08%</w:t>
      </w:r>
      <w:r>
        <w:rPr>
          <w:rFonts w:hint="eastAsia" w:ascii="Arial" w:hAnsi="Arial" w:eastAsia="宋体" w:cs="Arial"/>
          <w:i w:val="0"/>
          <w:iCs w:val="0"/>
          <w:caps w:val="0"/>
          <w:color w:val="222222"/>
          <w:spacing w:val="0"/>
          <w:kern w:val="0"/>
          <w:sz w:val="30"/>
          <w:szCs w:val="30"/>
          <w:lang w:val="en-US" w:eastAsia="zh-CN" w:bidi="ar"/>
        </w:rPr>
        <w:t>，</w:t>
      </w:r>
      <w:r>
        <w:rPr>
          <w:rFonts w:hint="default" w:ascii="Arial" w:hAnsi="Arial" w:eastAsia="宋体" w:cs="Arial"/>
          <w:i w:val="0"/>
          <w:iCs w:val="0"/>
          <w:caps w:val="0"/>
          <w:color w:val="222222"/>
          <w:spacing w:val="0"/>
          <w:kern w:val="0"/>
          <w:sz w:val="30"/>
          <w:szCs w:val="30"/>
          <w:lang w:val="en-US" w:eastAsia="zh-CN" w:bidi="ar"/>
        </w:rPr>
        <w:t>其他收入841.4万元，占总收入的24.92%。较2020年度决算总收入2369.87万元增加了1006.48万元，主要原因是</w:t>
      </w:r>
      <w:r>
        <w:rPr>
          <w:rFonts w:hint="eastAsia" w:ascii="Arial" w:hAnsi="Arial" w:eastAsia="宋体" w:cs="Arial"/>
          <w:i w:val="0"/>
          <w:iCs w:val="0"/>
          <w:caps w:val="0"/>
          <w:color w:val="222222"/>
          <w:spacing w:val="0"/>
          <w:kern w:val="0"/>
          <w:sz w:val="30"/>
          <w:szCs w:val="30"/>
          <w:lang w:val="en-US" w:eastAsia="zh-CN" w:bidi="ar"/>
        </w:rPr>
        <w:t>：</w:t>
      </w:r>
      <w:r>
        <w:rPr>
          <w:rFonts w:hint="default" w:ascii="Arial" w:hAnsi="Arial" w:eastAsia="宋体" w:cs="Arial"/>
          <w:i w:val="0"/>
          <w:iCs w:val="0"/>
          <w:caps w:val="0"/>
          <w:color w:val="222222"/>
          <w:spacing w:val="0"/>
          <w:kern w:val="0"/>
          <w:sz w:val="30"/>
          <w:szCs w:val="30"/>
          <w:lang w:val="en-US" w:eastAsia="zh-CN" w:bidi="ar"/>
        </w:rPr>
        <w:t>单位人员增加，相应的人员经费增加</w:t>
      </w:r>
      <w:r>
        <w:rPr>
          <w:rFonts w:hint="eastAsia" w:ascii="Arial" w:hAnsi="Arial" w:eastAsia="宋体" w:cs="Arial"/>
          <w:i w:val="0"/>
          <w:iCs w:val="0"/>
          <w:caps w:val="0"/>
          <w:color w:val="222222"/>
          <w:spacing w:val="0"/>
          <w:kern w:val="0"/>
          <w:sz w:val="30"/>
          <w:szCs w:val="30"/>
          <w:lang w:val="en-US" w:eastAsia="zh-CN" w:bidi="ar"/>
        </w:rPr>
        <w:t>；</w:t>
      </w:r>
      <w:r>
        <w:rPr>
          <w:rFonts w:hint="default" w:ascii="Arial" w:hAnsi="Arial" w:eastAsia="宋体" w:cs="Arial"/>
          <w:i w:val="0"/>
          <w:iCs w:val="0"/>
          <w:caps w:val="0"/>
          <w:color w:val="222222"/>
          <w:spacing w:val="0"/>
          <w:kern w:val="0"/>
          <w:sz w:val="30"/>
          <w:szCs w:val="30"/>
          <w:lang w:val="en-US" w:eastAsia="zh-CN" w:bidi="ar"/>
        </w:rPr>
        <w:t>往来单位的预算外拨款资金增加。较2021年预算总收入447.2万元增加了2929.15万元，主要原因是：1、增加社区工作人员的工资福利收入；2、增加长宇新城二期主体工程债券资金收入。3、增加了预算外往来资金收入。</w:t>
      </w:r>
      <w:r>
        <w:rPr>
          <w:rFonts w:hint="default" w:ascii="Arial" w:hAnsi="Arial" w:eastAsia="宋体" w:cs="Arial"/>
          <w:i w:val="0"/>
          <w:iCs w:val="0"/>
          <w:caps w:val="0"/>
          <w:color w:val="222222"/>
          <w:spacing w:val="0"/>
          <w:kern w:val="0"/>
          <w:sz w:val="30"/>
          <w:szCs w:val="30"/>
          <w:lang w:val="en-US" w:eastAsia="zh-CN" w:bidi="ar"/>
        </w:rPr>
        <w:br w:type="textWrapping"/>
      </w:r>
      <w:r>
        <w:rPr>
          <w:rFonts w:hint="eastAsia" w:ascii="Arial" w:hAnsi="Arial" w:eastAsia="宋体" w:cs="Arial"/>
          <w:i w:val="0"/>
          <w:iCs w:val="0"/>
          <w:caps w:val="0"/>
          <w:color w:val="222222"/>
          <w:spacing w:val="0"/>
          <w:kern w:val="0"/>
          <w:sz w:val="30"/>
          <w:szCs w:val="30"/>
          <w:lang w:val="en-US" w:eastAsia="zh-CN" w:bidi="ar"/>
        </w:rPr>
        <w:t xml:space="preserve">    长乐山工业园</w:t>
      </w:r>
      <w:r>
        <w:rPr>
          <w:rFonts w:hint="default" w:ascii="Arial" w:hAnsi="Arial" w:eastAsia="宋体" w:cs="Arial"/>
          <w:i w:val="0"/>
          <w:iCs w:val="0"/>
          <w:caps w:val="0"/>
          <w:color w:val="222222"/>
          <w:spacing w:val="0"/>
          <w:kern w:val="0"/>
          <w:sz w:val="30"/>
          <w:szCs w:val="30"/>
          <w:lang w:val="en-US" w:eastAsia="zh-CN" w:bidi="ar"/>
        </w:rPr>
        <w:t>2021年度决算总支出合计2934.83万元，其中：基本支出812.61万元，占决算总支出的27.69%；项目支出2122.22元，占决算总支出的72.31%。较2020年度决算总支出2286.18万元增加了648.65万元，主要原因是2021年人员增加，相应的人员经费增加；长宇新城二期主体工程费等项目支出较去年增加。较2021年预算总支出447.2万元增加了2487.63万元，主要原因是：1、增加社区工作人员的工资福利支出；2、增加长宇新城二期主体工程债券资金支出；3、增加了预算外往来资金支出。</w:t>
      </w:r>
    </w:p>
    <w:p w14:paraId="54F01E33">
      <w:pPr>
        <w:pStyle w:val="4"/>
        <w:keepNext w:val="0"/>
        <w:keepLines w:val="0"/>
        <w:widowControl/>
        <w:suppressLineNumbers w:val="0"/>
        <w:ind w:left="0" w:firstLine="0"/>
        <w:rPr>
          <w:rFonts w:hint="default" w:ascii="Arial" w:hAnsi="Arial" w:cs="Arial"/>
          <w:i w:val="0"/>
          <w:iCs w:val="0"/>
          <w:caps w:val="0"/>
          <w:color w:val="222222"/>
          <w:spacing w:val="0"/>
          <w:sz w:val="30"/>
          <w:szCs w:val="30"/>
        </w:rPr>
      </w:pPr>
      <w:r>
        <w:rPr>
          <w:rFonts w:hint="default" w:ascii="Arial" w:hAnsi="Arial" w:cs="Arial"/>
          <w:i w:val="0"/>
          <w:iCs w:val="0"/>
          <w:caps w:val="0"/>
          <w:color w:val="222222"/>
          <w:spacing w:val="0"/>
          <w:sz w:val="30"/>
          <w:szCs w:val="30"/>
        </w:rPr>
        <w:t>（二）决算收入增减变化情况</w:t>
      </w:r>
    </w:p>
    <w:p w14:paraId="299BA71D">
      <w:pPr>
        <w:keepNext w:val="0"/>
        <w:keepLines w:val="0"/>
        <w:widowControl/>
        <w:suppressLineNumbers w:val="0"/>
        <w:ind w:left="0" w:firstLine="600" w:firstLineChars="200"/>
        <w:jc w:val="left"/>
        <w:rPr>
          <w:rFonts w:hint="default" w:ascii="Arial" w:hAnsi="Arial" w:cs="Arial"/>
          <w:i w:val="0"/>
          <w:iCs w:val="0"/>
          <w:caps w:val="0"/>
          <w:color w:val="222222"/>
          <w:spacing w:val="0"/>
          <w:sz w:val="30"/>
          <w:szCs w:val="30"/>
        </w:rPr>
      </w:pPr>
      <w:r>
        <w:rPr>
          <w:rFonts w:hint="default" w:ascii="Arial" w:hAnsi="Arial" w:eastAsia="宋体" w:cs="Arial"/>
          <w:i w:val="0"/>
          <w:iCs w:val="0"/>
          <w:caps w:val="0"/>
          <w:color w:val="222222"/>
          <w:spacing w:val="0"/>
          <w:kern w:val="0"/>
          <w:sz w:val="30"/>
          <w:szCs w:val="30"/>
          <w:lang w:val="en-US" w:eastAsia="zh-CN" w:bidi="ar"/>
        </w:rPr>
        <w:t>长乐山工业园2021年度决算收入合计3376.35万元，其中：财政拨款收入2534.96万元，占决算总收入的75.08%，其他收入841.4万元，占决算总收入的24.92%。2021年较2020年度决算总收入2369.87万元增加了1006.48万元，主要原因是</w:t>
      </w:r>
      <w:r>
        <w:rPr>
          <w:rFonts w:hint="eastAsia" w:ascii="Arial" w:hAnsi="Arial" w:eastAsia="宋体" w:cs="Arial"/>
          <w:i w:val="0"/>
          <w:iCs w:val="0"/>
          <w:caps w:val="0"/>
          <w:color w:val="222222"/>
          <w:spacing w:val="0"/>
          <w:kern w:val="0"/>
          <w:sz w:val="30"/>
          <w:szCs w:val="30"/>
          <w:lang w:val="en-US" w:eastAsia="zh-CN" w:bidi="ar"/>
        </w:rPr>
        <w:t>：</w:t>
      </w:r>
      <w:r>
        <w:rPr>
          <w:rFonts w:hint="default" w:ascii="Arial" w:hAnsi="Arial" w:eastAsia="宋体" w:cs="Arial"/>
          <w:i w:val="0"/>
          <w:iCs w:val="0"/>
          <w:caps w:val="0"/>
          <w:color w:val="222222"/>
          <w:spacing w:val="0"/>
          <w:kern w:val="0"/>
          <w:sz w:val="30"/>
          <w:szCs w:val="30"/>
          <w:lang w:val="en-US" w:eastAsia="zh-CN" w:bidi="ar"/>
        </w:rPr>
        <w:t>单位人员增加，相应的人员经费增加</w:t>
      </w:r>
      <w:r>
        <w:rPr>
          <w:rFonts w:hint="eastAsia" w:ascii="Arial" w:hAnsi="Arial" w:eastAsia="宋体" w:cs="Arial"/>
          <w:i w:val="0"/>
          <w:iCs w:val="0"/>
          <w:caps w:val="0"/>
          <w:color w:val="222222"/>
          <w:spacing w:val="0"/>
          <w:kern w:val="0"/>
          <w:sz w:val="30"/>
          <w:szCs w:val="30"/>
          <w:lang w:val="en-US" w:eastAsia="zh-CN" w:bidi="ar"/>
        </w:rPr>
        <w:t>；</w:t>
      </w:r>
      <w:r>
        <w:rPr>
          <w:rFonts w:hint="default" w:ascii="Arial" w:hAnsi="Arial" w:eastAsia="宋体" w:cs="Arial"/>
          <w:i w:val="0"/>
          <w:iCs w:val="0"/>
          <w:caps w:val="0"/>
          <w:color w:val="222222"/>
          <w:spacing w:val="0"/>
          <w:kern w:val="0"/>
          <w:sz w:val="30"/>
          <w:szCs w:val="30"/>
          <w:lang w:val="en-US" w:eastAsia="zh-CN" w:bidi="ar"/>
        </w:rPr>
        <w:t>往来单位的预算外拨款资金增加。较2021年预算总收入447.2万元增加了2929.15万元，主要原因是：1、增加社区工作人员的工资福利收入；2、增加长宇新城二期主体工程债券资金收入。3、增加了预算外往来资金收入。</w:t>
      </w:r>
    </w:p>
    <w:p w14:paraId="2234386B">
      <w:pPr>
        <w:pStyle w:val="4"/>
        <w:keepNext w:val="0"/>
        <w:keepLines w:val="0"/>
        <w:widowControl/>
        <w:suppressLineNumbers w:val="0"/>
        <w:ind w:left="0" w:firstLine="0"/>
        <w:rPr>
          <w:rFonts w:hint="default" w:ascii="Arial" w:hAnsi="Arial" w:cs="Arial"/>
          <w:i w:val="0"/>
          <w:iCs w:val="0"/>
          <w:caps w:val="0"/>
          <w:color w:val="222222"/>
          <w:spacing w:val="0"/>
          <w:sz w:val="30"/>
          <w:szCs w:val="30"/>
        </w:rPr>
      </w:pPr>
      <w:r>
        <w:rPr>
          <w:rFonts w:hint="default" w:ascii="Arial" w:hAnsi="Arial" w:cs="Arial"/>
          <w:i w:val="0"/>
          <w:iCs w:val="0"/>
          <w:caps w:val="0"/>
          <w:color w:val="222222"/>
          <w:spacing w:val="0"/>
          <w:sz w:val="30"/>
          <w:szCs w:val="30"/>
        </w:rPr>
        <w:t>（三）决算支出增减变化情况</w:t>
      </w:r>
    </w:p>
    <w:p w14:paraId="28F9ACE0">
      <w:pPr>
        <w:keepNext w:val="0"/>
        <w:keepLines w:val="0"/>
        <w:widowControl/>
        <w:suppressLineNumbers w:val="0"/>
        <w:ind w:left="0" w:firstLine="600" w:firstLineChars="200"/>
        <w:jc w:val="left"/>
        <w:rPr>
          <w:rFonts w:hint="default" w:ascii="Arial" w:hAnsi="Arial" w:cs="Arial"/>
          <w:i w:val="0"/>
          <w:iCs w:val="0"/>
          <w:caps w:val="0"/>
          <w:color w:val="222222"/>
          <w:spacing w:val="0"/>
          <w:sz w:val="30"/>
          <w:szCs w:val="30"/>
        </w:rPr>
      </w:pPr>
      <w:r>
        <w:rPr>
          <w:rFonts w:hint="default" w:ascii="Arial" w:hAnsi="Arial" w:eastAsia="宋体" w:cs="Arial"/>
          <w:i w:val="0"/>
          <w:iCs w:val="0"/>
          <w:caps w:val="0"/>
          <w:color w:val="222222"/>
          <w:spacing w:val="0"/>
          <w:kern w:val="0"/>
          <w:sz w:val="30"/>
          <w:szCs w:val="30"/>
          <w:lang w:val="en-US" w:eastAsia="zh-CN" w:bidi="ar"/>
        </w:rPr>
        <w:t>长乐山工业园2021年度支出2934.83万元，其中：基本支出812.61万元，占决算总支出的27.69%；项目支出2122.22元，占决算总支出的72.31%。2021年较2020年度决算总支出2286.18万元增加了648.65万元，主要原因是</w:t>
      </w:r>
      <w:r>
        <w:rPr>
          <w:rFonts w:hint="eastAsia" w:ascii="Arial" w:hAnsi="Arial" w:eastAsia="宋体" w:cs="Arial"/>
          <w:i w:val="0"/>
          <w:iCs w:val="0"/>
          <w:caps w:val="0"/>
          <w:color w:val="222222"/>
          <w:spacing w:val="0"/>
          <w:kern w:val="0"/>
          <w:sz w:val="30"/>
          <w:szCs w:val="30"/>
          <w:lang w:val="en-US" w:eastAsia="zh-CN" w:bidi="ar"/>
        </w:rPr>
        <w:t>：</w:t>
      </w:r>
      <w:r>
        <w:rPr>
          <w:rFonts w:hint="default" w:ascii="Arial" w:hAnsi="Arial" w:eastAsia="宋体" w:cs="Arial"/>
          <w:i w:val="0"/>
          <w:iCs w:val="0"/>
          <w:caps w:val="0"/>
          <w:color w:val="222222"/>
          <w:spacing w:val="0"/>
          <w:kern w:val="0"/>
          <w:sz w:val="30"/>
          <w:szCs w:val="30"/>
          <w:lang w:val="en-US" w:eastAsia="zh-CN" w:bidi="ar"/>
        </w:rPr>
        <w:t>2021年人员增加，相应的人员经费增加；长宇新城二期主体工程费等项目支出较去年增加。较2021年预算总支出447.2万元增加了2487.63万元，主要原因是：1、增加社区工作人员的工资福利支出；2、增加长宇新城二期主体工程债券资金支出；3、增加了预算外往来资金支出。</w:t>
      </w:r>
      <w:r>
        <w:rPr>
          <w:rFonts w:hint="default" w:ascii="Arial" w:hAnsi="Arial" w:eastAsia="宋体" w:cs="Arial"/>
          <w:i w:val="0"/>
          <w:iCs w:val="0"/>
          <w:caps w:val="0"/>
          <w:color w:val="222222"/>
          <w:spacing w:val="0"/>
          <w:kern w:val="0"/>
          <w:sz w:val="30"/>
          <w:szCs w:val="30"/>
          <w:lang w:val="en-US" w:eastAsia="zh-CN" w:bidi="ar"/>
        </w:rPr>
        <w:br w:type="textWrapping"/>
      </w:r>
      <w:r>
        <w:rPr>
          <w:rFonts w:hint="eastAsia" w:ascii="Arial" w:hAnsi="Arial" w:eastAsia="宋体" w:cs="Arial"/>
          <w:i w:val="0"/>
          <w:iCs w:val="0"/>
          <w:caps w:val="0"/>
          <w:color w:val="222222"/>
          <w:spacing w:val="0"/>
          <w:kern w:val="0"/>
          <w:sz w:val="30"/>
          <w:szCs w:val="30"/>
          <w:lang w:val="en-US" w:eastAsia="zh-CN" w:bidi="ar"/>
        </w:rPr>
        <w:t xml:space="preserve">  </w:t>
      </w:r>
      <w:r>
        <w:rPr>
          <w:rFonts w:hint="default" w:ascii="Arial" w:hAnsi="Arial" w:eastAsia="宋体" w:cs="Arial"/>
          <w:i w:val="0"/>
          <w:iCs w:val="0"/>
          <w:caps w:val="0"/>
          <w:color w:val="222222"/>
          <w:spacing w:val="0"/>
          <w:kern w:val="0"/>
          <w:sz w:val="30"/>
          <w:szCs w:val="30"/>
          <w:lang w:val="en-US" w:eastAsia="zh-CN" w:bidi="ar"/>
        </w:rPr>
        <w:t>基本支主要用于：</w:t>
      </w:r>
      <w:r>
        <w:rPr>
          <w:rFonts w:hint="default" w:ascii="Arial" w:hAnsi="Arial" w:eastAsia="宋体" w:cs="Arial"/>
          <w:i w:val="0"/>
          <w:iCs w:val="0"/>
          <w:caps w:val="0"/>
          <w:color w:val="222222"/>
          <w:spacing w:val="0"/>
          <w:kern w:val="0"/>
          <w:sz w:val="30"/>
          <w:szCs w:val="30"/>
          <w:lang w:val="en-US" w:eastAsia="zh-CN" w:bidi="ar"/>
        </w:rPr>
        <w:br w:type="textWrapping"/>
      </w:r>
      <w:r>
        <w:rPr>
          <w:rFonts w:hint="default" w:ascii="Arial" w:hAnsi="Arial" w:eastAsia="宋体" w:cs="Arial"/>
          <w:i w:val="0"/>
          <w:iCs w:val="0"/>
          <w:caps w:val="0"/>
          <w:color w:val="222222"/>
          <w:spacing w:val="0"/>
          <w:kern w:val="0"/>
          <w:sz w:val="30"/>
          <w:szCs w:val="30"/>
          <w:lang w:val="en-US" w:eastAsia="zh-CN" w:bidi="ar"/>
        </w:rPr>
        <w:t>（1）工资及福利支出593.77万元，主要用于职工基本工资、津贴、补贴、奖金、社会保障缴费支出；</w:t>
      </w:r>
      <w:r>
        <w:rPr>
          <w:rFonts w:hint="default" w:ascii="Arial" w:hAnsi="Arial" w:eastAsia="宋体" w:cs="Arial"/>
          <w:i w:val="0"/>
          <w:iCs w:val="0"/>
          <w:caps w:val="0"/>
          <w:color w:val="222222"/>
          <w:spacing w:val="0"/>
          <w:kern w:val="0"/>
          <w:sz w:val="30"/>
          <w:szCs w:val="30"/>
          <w:lang w:val="en-US" w:eastAsia="zh-CN" w:bidi="ar"/>
        </w:rPr>
        <w:br w:type="textWrapping"/>
      </w:r>
      <w:r>
        <w:rPr>
          <w:rFonts w:hint="default" w:ascii="Arial" w:hAnsi="Arial" w:eastAsia="宋体" w:cs="Arial"/>
          <w:i w:val="0"/>
          <w:iCs w:val="0"/>
          <w:caps w:val="0"/>
          <w:color w:val="222222"/>
          <w:spacing w:val="0"/>
          <w:kern w:val="0"/>
          <w:sz w:val="30"/>
          <w:szCs w:val="30"/>
          <w:lang w:val="en-US" w:eastAsia="zh-CN" w:bidi="ar"/>
        </w:rPr>
        <w:t>（2）商品及服务支出212.19万元，主要用于办公费用、印刷费、水电费、电话费、劳务费、工会福利费、燃油费、交通费、招待费、专项经费等支出；</w:t>
      </w:r>
      <w:r>
        <w:rPr>
          <w:rFonts w:hint="default" w:ascii="Arial" w:hAnsi="Arial" w:eastAsia="宋体" w:cs="Arial"/>
          <w:i w:val="0"/>
          <w:iCs w:val="0"/>
          <w:caps w:val="0"/>
          <w:color w:val="222222"/>
          <w:spacing w:val="0"/>
          <w:kern w:val="0"/>
          <w:sz w:val="30"/>
          <w:szCs w:val="30"/>
          <w:lang w:val="en-US" w:eastAsia="zh-CN" w:bidi="ar"/>
        </w:rPr>
        <w:br w:type="textWrapping"/>
      </w:r>
      <w:r>
        <w:rPr>
          <w:rFonts w:hint="default" w:ascii="Arial" w:hAnsi="Arial" w:eastAsia="宋体" w:cs="Arial"/>
          <w:i w:val="0"/>
          <w:iCs w:val="0"/>
          <w:caps w:val="0"/>
          <w:color w:val="222222"/>
          <w:spacing w:val="0"/>
          <w:kern w:val="0"/>
          <w:sz w:val="30"/>
          <w:szCs w:val="30"/>
          <w:lang w:val="en-US" w:eastAsia="zh-CN" w:bidi="ar"/>
        </w:rPr>
        <w:t>（3）对个人和家庭的补助支出3.45万元；主要用于退休费等支出；</w:t>
      </w:r>
      <w:r>
        <w:rPr>
          <w:rFonts w:hint="default" w:ascii="Arial" w:hAnsi="Arial" w:eastAsia="宋体" w:cs="Arial"/>
          <w:i w:val="0"/>
          <w:iCs w:val="0"/>
          <w:caps w:val="0"/>
          <w:color w:val="222222"/>
          <w:spacing w:val="0"/>
          <w:kern w:val="0"/>
          <w:sz w:val="30"/>
          <w:szCs w:val="30"/>
          <w:lang w:val="en-US" w:eastAsia="zh-CN" w:bidi="ar"/>
        </w:rPr>
        <w:br w:type="textWrapping"/>
      </w:r>
      <w:r>
        <w:rPr>
          <w:rFonts w:hint="default" w:ascii="Arial" w:hAnsi="Arial" w:eastAsia="宋体" w:cs="Arial"/>
          <w:i w:val="0"/>
          <w:iCs w:val="0"/>
          <w:caps w:val="0"/>
          <w:color w:val="222222"/>
          <w:spacing w:val="0"/>
          <w:kern w:val="0"/>
          <w:sz w:val="30"/>
          <w:szCs w:val="30"/>
          <w:lang w:val="en-US" w:eastAsia="zh-CN" w:bidi="ar"/>
        </w:rPr>
        <w:t>（4）资本性支出3.2万元；主要用于办公设备购置。</w:t>
      </w:r>
    </w:p>
    <w:p w14:paraId="0224FFD9">
      <w:pPr>
        <w:pStyle w:val="4"/>
        <w:keepNext w:val="0"/>
        <w:keepLines w:val="0"/>
        <w:widowControl/>
        <w:suppressLineNumbers w:val="0"/>
        <w:ind w:left="0" w:firstLine="0"/>
        <w:rPr>
          <w:rFonts w:hint="default" w:ascii="Arial" w:hAnsi="Arial" w:cs="Arial"/>
          <w:i w:val="0"/>
          <w:iCs w:val="0"/>
          <w:caps w:val="0"/>
          <w:color w:val="222222"/>
          <w:spacing w:val="0"/>
          <w:sz w:val="30"/>
          <w:szCs w:val="30"/>
        </w:rPr>
      </w:pPr>
      <w:r>
        <w:rPr>
          <w:rFonts w:hint="default" w:ascii="Arial" w:hAnsi="Arial" w:cs="Arial"/>
          <w:i w:val="0"/>
          <w:iCs w:val="0"/>
          <w:caps w:val="0"/>
          <w:color w:val="222222"/>
          <w:spacing w:val="0"/>
          <w:sz w:val="30"/>
          <w:szCs w:val="30"/>
        </w:rPr>
        <w:t>（四）财政拨款收入支出决算情况</w:t>
      </w:r>
    </w:p>
    <w:p w14:paraId="6455F6C0">
      <w:pPr>
        <w:keepNext w:val="0"/>
        <w:keepLines w:val="0"/>
        <w:widowControl/>
        <w:suppressLineNumbers w:val="0"/>
        <w:ind w:left="0" w:firstLine="600" w:firstLineChars="200"/>
        <w:jc w:val="left"/>
        <w:rPr>
          <w:rFonts w:hint="default" w:ascii="Arial" w:hAnsi="Arial" w:cs="Arial"/>
          <w:i w:val="0"/>
          <w:iCs w:val="0"/>
          <w:caps w:val="0"/>
          <w:color w:val="222222"/>
          <w:spacing w:val="0"/>
          <w:sz w:val="30"/>
          <w:szCs w:val="30"/>
        </w:rPr>
      </w:pPr>
      <w:r>
        <w:rPr>
          <w:rFonts w:hint="default" w:ascii="Arial" w:hAnsi="Arial" w:eastAsia="宋体" w:cs="Arial"/>
          <w:i w:val="0"/>
          <w:iCs w:val="0"/>
          <w:caps w:val="0"/>
          <w:color w:val="222222"/>
          <w:spacing w:val="0"/>
          <w:kern w:val="0"/>
          <w:sz w:val="30"/>
          <w:szCs w:val="30"/>
          <w:lang w:val="en-US" w:eastAsia="zh-CN" w:bidi="ar"/>
        </w:rPr>
        <w:t>长乐山工业园2021年财政拨款收入总计2534.96万元，</w:t>
      </w:r>
      <w:r>
        <w:rPr>
          <w:rFonts w:hint="eastAsia" w:ascii="Arial" w:hAnsi="Arial" w:eastAsia="宋体" w:cs="Arial"/>
          <w:i w:val="0"/>
          <w:iCs w:val="0"/>
          <w:caps w:val="0"/>
          <w:color w:val="222222"/>
          <w:spacing w:val="0"/>
          <w:kern w:val="0"/>
          <w:sz w:val="30"/>
          <w:szCs w:val="30"/>
          <w:lang w:val="en-US" w:eastAsia="zh-CN" w:bidi="ar"/>
        </w:rPr>
        <w:t>与上年决算数1938.71万元相比增加了596.25万元，</w:t>
      </w:r>
      <w:r>
        <w:rPr>
          <w:rFonts w:hint="default" w:ascii="Arial" w:hAnsi="Arial" w:eastAsia="宋体" w:cs="Arial"/>
          <w:i w:val="0"/>
          <w:iCs w:val="0"/>
          <w:caps w:val="0"/>
          <w:color w:val="222222"/>
          <w:spacing w:val="0"/>
          <w:kern w:val="0"/>
          <w:sz w:val="30"/>
          <w:szCs w:val="30"/>
          <w:lang w:val="en-US" w:eastAsia="zh-CN" w:bidi="ar"/>
        </w:rPr>
        <w:t>增长30.75%，主要原因为2021年社区工作人员的工资福利收入转为园区统一管理。</w:t>
      </w:r>
      <w:r>
        <w:rPr>
          <w:rFonts w:hint="eastAsia" w:ascii="Arial" w:hAnsi="Arial" w:eastAsia="宋体" w:cs="Arial"/>
          <w:i w:val="0"/>
          <w:iCs w:val="0"/>
          <w:caps w:val="0"/>
          <w:color w:val="222222"/>
          <w:spacing w:val="0"/>
          <w:kern w:val="0"/>
          <w:sz w:val="30"/>
          <w:szCs w:val="30"/>
          <w:lang w:val="en-US" w:eastAsia="zh-CN" w:bidi="ar"/>
        </w:rPr>
        <w:t>与</w:t>
      </w:r>
      <w:r>
        <w:rPr>
          <w:rFonts w:hint="default" w:ascii="Arial" w:hAnsi="Arial" w:eastAsia="宋体" w:cs="Arial"/>
          <w:i w:val="0"/>
          <w:iCs w:val="0"/>
          <w:caps w:val="0"/>
          <w:color w:val="222222"/>
          <w:spacing w:val="0"/>
          <w:kern w:val="0"/>
          <w:sz w:val="30"/>
          <w:szCs w:val="30"/>
          <w:lang w:val="en-US" w:eastAsia="zh-CN" w:bidi="ar"/>
        </w:rPr>
        <w:t>2021年财政拨款收入年初预算数447.2万元</w:t>
      </w:r>
      <w:r>
        <w:rPr>
          <w:rFonts w:hint="eastAsia" w:ascii="Arial" w:hAnsi="Arial" w:eastAsia="宋体" w:cs="Arial"/>
          <w:i w:val="0"/>
          <w:iCs w:val="0"/>
          <w:caps w:val="0"/>
          <w:color w:val="222222"/>
          <w:spacing w:val="0"/>
          <w:kern w:val="0"/>
          <w:sz w:val="30"/>
          <w:szCs w:val="30"/>
          <w:lang w:val="en-US" w:eastAsia="zh-CN" w:bidi="ar"/>
        </w:rPr>
        <w:t>相比</w:t>
      </w:r>
      <w:r>
        <w:rPr>
          <w:rFonts w:hint="default" w:ascii="Arial" w:hAnsi="Arial" w:eastAsia="宋体" w:cs="Arial"/>
          <w:i w:val="0"/>
          <w:iCs w:val="0"/>
          <w:caps w:val="0"/>
          <w:color w:val="222222"/>
          <w:spacing w:val="0"/>
          <w:kern w:val="0"/>
          <w:sz w:val="30"/>
          <w:szCs w:val="30"/>
          <w:lang w:val="en-US" w:eastAsia="zh-CN" w:bidi="ar"/>
        </w:rPr>
        <w:t>增加</w:t>
      </w:r>
      <w:r>
        <w:rPr>
          <w:rFonts w:hint="eastAsia" w:ascii="Arial" w:hAnsi="Arial" w:eastAsia="宋体" w:cs="Arial"/>
          <w:i w:val="0"/>
          <w:iCs w:val="0"/>
          <w:caps w:val="0"/>
          <w:color w:val="222222"/>
          <w:spacing w:val="0"/>
          <w:kern w:val="0"/>
          <w:sz w:val="30"/>
          <w:szCs w:val="30"/>
          <w:lang w:val="en-US" w:eastAsia="zh-CN" w:bidi="ar"/>
        </w:rPr>
        <w:t>了</w:t>
      </w:r>
      <w:r>
        <w:rPr>
          <w:rFonts w:hint="default" w:ascii="Arial" w:hAnsi="Arial" w:eastAsia="宋体" w:cs="Arial"/>
          <w:i w:val="0"/>
          <w:iCs w:val="0"/>
          <w:caps w:val="0"/>
          <w:color w:val="222222"/>
          <w:spacing w:val="0"/>
          <w:kern w:val="0"/>
          <w:sz w:val="30"/>
          <w:szCs w:val="30"/>
          <w:lang w:val="en-US" w:eastAsia="zh-CN" w:bidi="ar"/>
        </w:rPr>
        <w:t>2087.76万元，增幅466.85%，增加的原因为：1、增加社区工作人员的工资福利收入；2、增加长宇新城二期主体工程债券资金收入。</w:t>
      </w:r>
      <w:r>
        <w:rPr>
          <w:rFonts w:hint="default" w:ascii="Arial" w:hAnsi="Arial" w:eastAsia="宋体" w:cs="Arial"/>
          <w:i w:val="0"/>
          <w:iCs w:val="0"/>
          <w:caps w:val="0"/>
          <w:color w:val="222222"/>
          <w:spacing w:val="0"/>
          <w:kern w:val="0"/>
          <w:sz w:val="30"/>
          <w:szCs w:val="30"/>
          <w:lang w:val="en-US" w:eastAsia="zh-CN" w:bidi="ar"/>
        </w:rPr>
        <w:br w:type="textWrapping"/>
      </w:r>
      <w:r>
        <w:rPr>
          <w:rFonts w:hint="eastAsia" w:ascii="Arial" w:hAnsi="Arial" w:eastAsia="宋体" w:cs="Arial"/>
          <w:i w:val="0"/>
          <w:iCs w:val="0"/>
          <w:caps w:val="0"/>
          <w:color w:val="222222"/>
          <w:spacing w:val="0"/>
          <w:kern w:val="0"/>
          <w:sz w:val="30"/>
          <w:szCs w:val="30"/>
          <w:lang w:val="en-US" w:eastAsia="zh-CN" w:bidi="ar"/>
        </w:rPr>
        <w:t xml:space="preserve">    </w:t>
      </w:r>
      <w:r>
        <w:rPr>
          <w:rFonts w:hint="default" w:ascii="Arial" w:hAnsi="Arial" w:eastAsia="宋体" w:cs="Arial"/>
          <w:i w:val="0"/>
          <w:iCs w:val="0"/>
          <w:caps w:val="0"/>
          <w:color w:val="222222"/>
          <w:spacing w:val="0"/>
          <w:kern w:val="0"/>
          <w:sz w:val="30"/>
          <w:szCs w:val="30"/>
          <w:lang w:val="en-US" w:eastAsia="zh-CN" w:bidi="ar"/>
        </w:rPr>
        <w:t>长乐山业园2021年财政拨款支出总计2534.96万元，</w:t>
      </w:r>
      <w:r>
        <w:rPr>
          <w:rFonts w:hint="eastAsia" w:ascii="Arial" w:hAnsi="Arial" w:eastAsia="宋体" w:cs="Arial"/>
          <w:i w:val="0"/>
          <w:iCs w:val="0"/>
          <w:caps w:val="0"/>
          <w:color w:val="222222"/>
          <w:spacing w:val="0"/>
          <w:kern w:val="0"/>
          <w:sz w:val="30"/>
          <w:szCs w:val="30"/>
          <w:lang w:val="en-US" w:eastAsia="zh-CN" w:bidi="ar"/>
        </w:rPr>
        <w:t>与上年决算数1934.22万元相比增加了600.74万元，</w:t>
      </w:r>
      <w:r>
        <w:rPr>
          <w:rFonts w:hint="default" w:ascii="Arial" w:hAnsi="Arial" w:eastAsia="宋体" w:cs="Arial"/>
          <w:i w:val="0"/>
          <w:iCs w:val="0"/>
          <w:caps w:val="0"/>
          <w:color w:val="222222"/>
          <w:spacing w:val="0"/>
          <w:kern w:val="0"/>
          <w:sz w:val="30"/>
          <w:szCs w:val="30"/>
          <w:lang w:val="en-US" w:eastAsia="zh-CN" w:bidi="ar"/>
        </w:rPr>
        <w:t>增长31.06%。主要原因为2021年社区工作人员的工资福利支出转为园区统一管理。</w:t>
      </w:r>
      <w:r>
        <w:rPr>
          <w:rFonts w:hint="eastAsia" w:ascii="Arial" w:hAnsi="Arial" w:eastAsia="宋体" w:cs="Arial"/>
          <w:i w:val="0"/>
          <w:iCs w:val="0"/>
          <w:caps w:val="0"/>
          <w:color w:val="222222"/>
          <w:spacing w:val="0"/>
          <w:kern w:val="0"/>
          <w:sz w:val="30"/>
          <w:szCs w:val="30"/>
          <w:lang w:val="en-US" w:eastAsia="zh-CN" w:bidi="ar"/>
        </w:rPr>
        <w:t>与</w:t>
      </w:r>
      <w:r>
        <w:rPr>
          <w:rFonts w:hint="default" w:ascii="Arial" w:hAnsi="Arial" w:eastAsia="宋体" w:cs="Arial"/>
          <w:i w:val="0"/>
          <w:iCs w:val="0"/>
          <w:caps w:val="0"/>
          <w:color w:val="222222"/>
          <w:spacing w:val="0"/>
          <w:kern w:val="0"/>
          <w:sz w:val="30"/>
          <w:szCs w:val="30"/>
          <w:lang w:val="en-US" w:eastAsia="zh-CN" w:bidi="ar"/>
        </w:rPr>
        <w:t>2021年财政拨款支出年初预算数447.2万元</w:t>
      </w:r>
      <w:r>
        <w:rPr>
          <w:rFonts w:hint="eastAsia" w:ascii="Arial" w:hAnsi="Arial" w:eastAsia="宋体" w:cs="Arial"/>
          <w:i w:val="0"/>
          <w:iCs w:val="0"/>
          <w:caps w:val="0"/>
          <w:color w:val="222222"/>
          <w:spacing w:val="0"/>
          <w:kern w:val="0"/>
          <w:sz w:val="30"/>
          <w:szCs w:val="30"/>
          <w:lang w:val="en-US" w:eastAsia="zh-CN" w:bidi="ar"/>
        </w:rPr>
        <w:t>相比</w:t>
      </w:r>
      <w:r>
        <w:rPr>
          <w:rFonts w:hint="default" w:ascii="Arial" w:hAnsi="Arial" w:eastAsia="宋体" w:cs="Arial"/>
          <w:i w:val="0"/>
          <w:iCs w:val="0"/>
          <w:caps w:val="0"/>
          <w:color w:val="222222"/>
          <w:spacing w:val="0"/>
          <w:kern w:val="0"/>
          <w:sz w:val="30"/>
          <w:szCs w:val="30"/>
          <w:lang w:val="en-US" w:eastAsia="zh-CN" w:bidi="ar"/>
        </w:rPr>
        <w:t>增加</w:t>
      </w:r>
      <w:r>
        <w:rPr>
          <w:rFonts w:hint="eastAsia" w:ascii="Arial" w:hAnsi="Arial" w:eastAsia="宋体" w:cs="Arial"/>
          <w:i w:val="0"/>
          <w:iCs w:val="0"/>
          <w:caps w:val="0"/>
          <w:color w:val="222222"/>
          <w:spacing w:val="0"/>
          <w:kern w:val="0"/>
          <w:sz w:val="30"/>
          <w:szCs w:val="30"/>
          <w:lang w:val="en-US" w:eastAsia="zh-CN" w:bidi="ar"/>
        </w:rPr>
        <w:t>了</w:t>
      </w:r>
      <w:r>
        <w:rPr>
          <w:rFonts w:hint="default" w:ascii="Arial" w:hAnsi="Arial" w:eastAsia="宋体" w:cs="Arial"/>
          <w:i w:val="0"/>
          <w:iCs w:val="0"/>
          <w:caps w:val="0"/>
          <w:color w:val="222222"/>
          <w:spacing w:val="0"/>
          <w:kern w:val="0"/>
          <w:sz w:val="30"/>
          <w:szCs w:val="30"/>
          <w:lang w:val="en-US" w:eastAsia="zh-CN" w:bidi="ar"/>
        </w:rPr>
        <w:t>2087.76万元，增幅466.85%，增加的原因为：1、增加社区工作人员的工资福利支出；2、增加长宇新城二期主体工程债券资金支出。</w:t>
      </w:r>
    </w:p>
    <w:p w14:paraId="628220E1">
      <w:pPr>
        <w:pStyle w:val="4"/>
        <w:keepNext w:val="0"/>
        <w:keepLines w:val="0"/>
        <w:widowControl/>
        <w:suppressLineNumbers w:val="0"/>
        <w:ind w:left="0" w:firstLine="0"/>
        <w:rPr>
          <w:rFonts w:hint="default" w:ascii="Arial" w:hAnsi="Arial" w:cs="Arial"/>
          <w:i w:val="0"/>
          <w:iCs w:val="0"/>
          <w:caps w:val="0"/>
          <w:color w:val="222222"/>
          <w:spacing w:val="0"/>
          <w:sz w:val="30"/>
          <w:szCs w:val="30"/>
        </w:rPr>
      </w:pPr>
      <w:r>
        <w:rPr>
          <w:rFonts w:hint="default" w:ascii="Arial" w:hAnsi="Arial" w:cs="Arial"/>
          <w:i w:val="0"/>
          <w:iCs w:val="0"/>
          <w:caps w:val="0"/>
          <w:color w:val="222222"/>
          <w:spacing w:val="0"/>
          <w:sz w:val="30"/>
          <w:szCs w:val="30"/>
        </w:rPr>
        <w:t>（五）一般公共预算财政拨款支出、基本支出决算情况</w:t>
      </w:r>
    </w:p>
    <w:p w14:paraId="6BE60364">
      <w:pPr>
        <w:keepNext w:val="0"/>
        <w:keepLines w:val="0"/>
        <w:widowControl/>
        <w:suppressLineNumbers w:val="0"/>
        <w:ind w:left="0" w:firstLine="600" w:firstLineChars="200"/>
        <w:jc w:val="left"/>
        <w:rPr>
          <w:rFonts w:hint="default" w:ascii="Arial" w:hAnsi="Arial" w:cs="Arial"/>
          <w:i w:val="0"/>
          <w:iCs w:val="0"/>
          <w:caps w:val="0"/>
          <w:color w:val="222222"/>
          <w:spacing w:val="0"/>
          <w:sz w:val="30"/>
          <w:szCs w:val="30"/>
        </w:rPr>
      </w:pPr>
      <w:r>
        <w:rPr>
          <w:rFonts w:hint="default" w:ascii="Arial" w:hAnsi="Arial" w:eastAsia="宋体" w:cs="Arial"/>
          <w:i w:val="0"/>
          <w:iCs w:val="0"/>
          <w:caps w:val="0"/>
          <w:color w:val="222222"/>
          <w:spacing w:val="0"/>
          <w:kern w:val="0"/>
          <w:sz w:val="30"/>
          <w:szCs w:val="30"/>
          <w:lang w:val="en-US" w:eastAsia="zh-CN" w:bidi="ar"/>
        </w:rPr>
        <w:t>1、长乐山工业园2021年一般公共预算财政拨款支出年末决算数为2534.96万元，较2020年决算数增加</w:t>
      </w:r>
      <w:r>
        <w:rPr>
          <w:rFonts w:hint="eastAsia" w:ascii="Arial" w:hAnsi="Arial" w:eastAsia="宋体" w:cs="Arial"/>
          <w:i w:val="0"/>
          <w:iCs w:val="0"/>
          <w:caps w:val="0"/>
          <w:color w:val="222222"/>
          <w:spacing w:val="0"/>
          <w:kern w:val="0"/>
          <w:sz w:val="30"/>
          <w:szCs w:val="30"/>
          <w:lang w:val="en-US" w:eastAsia="zh-CN" w:bidi="ar"/>
        </w:rPr>
        <w:t>600.74</w:t>
      </w:r>
      <w:r>
        <w:rPr>
          <w:rFonts w:hint="default" w:ascii="Arial" w:hAnsi="Arial" w:eastAsia="宋体" w:cs="Arial"/>
          <w:i w:val="0"/>
          <w:iCs w:val="0"/>
          <w:caps w:val="0"/>
          <w:color w:val="222222"/>
          <w:spacing w:val="0"/>
          <w:kern w:val="0"/>
          <w:sz w:val="30"/>
          <w:szCs w:val="30"/>
          <w:lang w:val="en-US" w:eastAsia="zh-CN" w:bidi="ar"/>
        </w:rPr>
        <w:t>万元，增幅31.06%。与2021年预算数447.2万元相比增加2087.76万元，主要原因为：1、增加社区工作人员的工资福利支出；2、增加长宇新城二期主体工程债券资金支出。</w:t>
      </w:r>
      <w:r>
        <w:rPr>
          <w:rFonts w:hint="default" w:ascii="Arial" w:hAnsi="Arial" w:eastAsia="宋体" w:cs="Arial"/>
          <w:i w:val="0"/>
          <w:iCs w:val="0"/>
          <w:caps w:val="0"/>
          <w:color w:val="222222"/>
          <w:spacing w:val="0"/>
          <w:kern w:val="0"/>
          <w:sz w:val="30"/>
          <w:szCs w:val="30"/>
          <w:lang w:val="en-US" w:eastAsia="zh-CN" w:bidi="ar"/>
        </w:rPr>
        <w:br w:type="textWrapping"/>
      </w:r>
      <w:r>
        <w:rPr>
          <w:rFonts w:hint="eastAsia" w:ascii="Arial" w:hAnsi="Arial" w:eastAsia="宋体" w:cs="Arial"/>
          <w:i w:val="0"/>
          <w:iCs w:val="0"/>
          <w:caps w:val="0"/>
          <w:color w:val="222222"/>
          <w:spacing w:val="0"/>
          <w:kern w:val="0"/>
          <w:sz w:val="30"/>
          <w:szCs w:val="30"/>
          <w:lang w:val="en-US" w:eastAsia="zh-CN" w:bidi="ar"/>
        </w:rPr>
        <w:t xml:space="preserve">    </w:t>
      </w:r>
      <w:r>
        <w:rPr>
          <w:rFonts w:hint="default" w:ascii="Arial" w:hAnsi="Arial" w:eastAsia="宋体" w:cs="Arial"/>
          <w:i w:val="0"/>
          <w:iCs w:val="0"/>
          <w:caps w:val="0"/>
          <w:color w:val="222222"/>
          <w:spacing w:val="0"/>
          <w:kern w:val="0"/>
          <w:sz w:val="30"/>
          <w:szCs w:val="30"/>
          <w:lang w:val="en-US" w:eastAsia="zh-CN" w:bidi="ar"/>
        </w:rPr>
        <w:t>按支出功能分类，一般公共服务支出决算为451.89万元，较上年减少15万元，减幅3.21%；城乡社区支出决算为961.07万元，较上年增长960.92万元，增幅640613.33%；住房保障支出决算为1122万元，较上年减少277万元，减幅19.80%。</w:t>
      </w:r>
      <w:r>
        <w:rPr>
          <w:rFonts w:hint="default" w:ascii="Arial" w:hAnsi="Arial" w:eastAsia="宋体" w:cs="Arial"/>
          <w:i w:val="0"/>
          <w:iCs w:val="0"/>
          <w:caps w:val="0"/>
          <w:color w:val="222222"/>
          <w:spacing w:val="0"/>
          <w:kern w:val="0"/>
          <w:sz w:val="30"/>
          <w:szCs w:val="30"/>
          <w:lang w:val="en-US" w:eastAsia="zh-CN" w:bidi="ar"/>
        </w:rPr>
        <w:br w:type="textWrapping"/>
      </w:r>
      <w:r>
        <w:rPr>
          <w:rFonts w:hint="eastAsia" w:ascii="Arial" w:hAnsi="Arial" w:eastAsia="宋体" w:cs="Arial"/>
          <w:i w:val="0"/>
          <w:iCs w:val="0"/>
          <w:caps w:val="0"/>
          <w:color w:val="222222"/>
          <w:spacing w:val="0"/>
          <w:kern w:val="0"/>
          <w:sz w:val="30"/>
          <w:szCs w:val="30"/>
          <w:lang w:val="en-US" w:eastAsia="zh-CN" w:bidi="ar"/>
        </w:rPr>
        <w:t xml:space="preserve">    </w:t>
      </w:r>
      <w:r>
        <w:rPr>
          <w:rFonts w:hint="default" w:ascii="Arial" w:hAnsi="Arial" w:eastAsia="宋体" w:cs="Arial"/>
          <w:i w:val="0"/>
          <w:iCs w:val="0"/>
          <w:caps w:val="0"/>
          <w:color w:val="222222"/>
          <w:spacing w:val="0"/>
          <w:kern w:val="0"/>
          <w:sz w:val="30"/>
          <w:szCs w:val="30"/>
          <w:lang w:val="en-US" w:eastAsia="zh-CN" w:bidi="ar"/>
        </w:rPr>
        <w:t>2、长乐山工业园2021年一般公共预算财政拨款基本支出525.89万元，较上年增长111万元，增幅26.75%。与2021年预算384.2万元相比增加141.69万元，主要原因为2021年下半年根据上级部门统一规定，社区工作人员的工资福利支出并入园区管理。</w:t>
      </w:r>
      <w:r>
        <w:rPr>
          <w:rFonts w:hint="default" w:ascii="Arial" w:hAnsi="Arial" w:eastAsia="宋体" w:cs="Arial"/>
          <w:i w:val="0"/>
          <w:iCs w:val="0"/>
          <w:caps w:val="0"/>
          <w:color w:val="222222"/>
          <w:spacing w:val="0"/>
          <w:kern w:val="0"/>
          <w:sz w:val="30"/>
          <w:szCs w:val="30"/>
          <w:lang w:val="en-US" w:eastAsia="zh-CN" w:bidi="ar"/>
        </w:rPr>
        <w:br w:type="textWrapping"/>
      </w:r>
      <w:r>
        <w:rPr>
          <w:rFonts w:hint="eastAsia" w:ascii="Arial" w:hAnsi="Arial" w:eastAsia="宋体" w:cs="Arial"/>
          <w:i w:val="0"/>
          <w:iCs w:val="0"/>
          <w:caps w:val="0"/>
          <w:color w:val="222222"/>
          <w:spacing w:val="0"/>
          <w:kern w:val="0"/>
          <w:sz w:val="30"/>
          <w:szCs w:val="30"/>
          <w:lang w:val="en-US" w:eastAsia="zh-CN" w:bidi="ar"/>
        </w:rPr>
        <w:t xml:space="preserve">    </w:t>
      </w:r>
      <w:r>
        <w:rPr>
          <w:rFonts w:hint="default" w:ascii="Arial" w:hAnsi="Arial" w:eastAsia="宋体" w:cs="Arial"/>
          <w:i w:val="0"/>
          <w:iCs w:val="0"/>
          <w:caps w:val="0"/>
          <w:color w:val="222222"/>
          <w:spacing w:val="0"/>
          <w:kern w:val="0"/>
          <w:sz w:val="30"/>
          <w:szCs w:val="30"/>
          <w:lang w:val="en-US" w:eastAsia="zh-CN" w:bidi="ar"/>
        </w:rPr>
        <w:t>其中，人员经费支出467.81万元，较上年增长77.58万元，增幅19.88%。人员经费主要包括：基本工资、津贴补贴、奖金、社会保险缴费、离退休费、医疗费、住房公积金、职业年金、机关事业单位养老保险等支出。日常公用经费支出58.08万元，较上年增长33.42万元，增幅135.52%。日常公用经费主要包括：办公费、印刷费、水费、电费、邮电费、物业管理费、差旅费、因公出国（境）费、维修（护）费、租赁费、会议费、培训费、公务接待费、劳务费、工会经费、福利费、公车运行维护费、其他交通费、其他商品和服务支出、办公设备购置等。</w:t>
      </w:r>
    </w:p>
    <w:p w14:paraId="4B16650B">
      <w:pPr>
        <w:pStyle w:val="4"/>
        <w:keepNext w:val="0"/>
        <w:keepLines w:val="0"/>
        <w:widowControl/>
        <w:suppressLineNumbers w:val="0"/>
        <w:ind w:left="0" w:firstLine="0"/>
        <w:rPr>
          <w:rFonts w:hint="default" w:ascii="Arial" w:hAnsi="Arial" w:cs="Arial"/>
          <w:i w:val="0"/>
          <w:iCs w:val="0"/>
          <w:caps w:val="0"/>
          <w:color w:val="222222"/>
          <w:spacing w:val="0"/>
          <w:sz w:val="30"/>
          <w:szCs w:val="30"/>
        </w:rPr>
      </w:pPr>
      <w:r>
        <w:rPr>
          <w:rFonts w:hint="default" w:ascii="Arial" w:hAnsi="Arial" w:cs="Arial"/>
          <w:i w:val="0"/>
          <w:iCs w:val="0"/>
          <w:caps w:val="0"/>
          <w:color w:val="222222"/>
          <w:spacing w:val="0"/>
          <w:sz w:val="30"/>
          <w:szCs w:val="30"/>
        </w:rPr>
        <w:t>（六）“三公”经费支出情况</w:t>
      </w:r>
    </w:p>
    <w:p w14:paraId="58384215">
      <w:pPr>
        <w:keepNext w:val="0"/>
        <w:keepLines w:val="0"/>
        <w:widowControl/>
        <w:suppressLineNumbers w:val="0"/>
        <w:ind w:firstLine="600" w:firstLineChars="200"/>
        <w:jc w:val="left"/>
        <w:rPr>
          <w:rFonts w:hint="default" w:ascii="Arial" w:hAnsi="Arial" w:cs="Arial"/>
          <w:i w:val="0"/>
          <w:iCs w:val="0"/>
          <w:caps w:val="0"/>
          <w:color w:val="222222"/>
          <w:spacing w:val="0"/>
          <w:sz w:val="30"/>
          <w:szCs w:val="30"/>
        </w:rPr>
      </w:pPr>
      <w:r>
        <w:rPr>
          <w:rFonts w:hint="default" w:ascii="Arial" w:hAnsi="Arial" w:eastAsia="宋体" w:cs="Arial"/>
          <w:i w:val="0"/>
          <w:iCs w:val="0"/>
          <w:caps w:val="0"/>
          <w:color w:val="222222"/>
          <w:spacing w:val="0"/>
          <w:kern w:val="0"/>
          <w:sz w:val="30"/>
          <w:szCs w:val="30"/>
          <w:lang w:val="en-US" w:eastAsia="zh-CN" w:bidi="ar"/>
        </w:rPr>
        <w:t>长乐山工业园2021年度“三公”经费支出决算数为7.04万元，与2020年“三公”经费支出决算数4.31万元相比增长2.73万元，增幅63.34%；与2021年“三公”经费预算数11.86万元相比减少4.82万元，主要原因为公务用车运行维护费用减少6.71万元，公务接待费增长1.89万元。其中:</w:t>
      </w:r>
      <w:r>
        <w:rPr>
          <w:rFonts w:hint="default" w:ascii="Arial" w:hAnsi="Arial" w:eastAsia="宋体" w:cs="Arial"/>
          <w:i w:val="0"/>
          <w:iCs w:val="0"/>
          <w:caps w:val="0"/>
          <w:color w:val="222222"/>
          <w:spacing w:val="0"/>
          <w:kern w:val="0"/>
          <w:sz w:val="30"/>
          <w:szCs w:val="30"/>
          <w:lang w:val="en-US" w:eastAsia="zh-CN" w:bidi="ar"/>
        </w:rPr>
        <w:br w:type="textWrapping"/>
      </w:r>
      <w:r>
        <w:rPr>
          <w:rFonts w:hint="eastAsia" w:ascii="Arial" w:hAnsi="Arial" w:eastAsia="宋体" w:cs="Arial"/>
          <w:i w:val="0"/>
          <w:iCs w:val="0"/>
          <w:caps w:val="0"/>
          <w:color w:val="222222"/>
          <w:spacing w:val="0"/>
          <w:kern w:val="0"/>
          <w:sz w:val="30"/>
          <w:szCs w:val="30"/>
          <w:lang w:val="en-US" w:eastAsia="zh-CN" w:bidi="ar"/>
        </w:rPr>
        <w:t xml:space="preserve">   </w:t>
      </w:r>
      <w:r>
        <w:rPr>
          <w:rFonts w:hint="default" w:ascii="Arial" w:hAnsi="Arial" w:eastAsia="宋体" w:cs="Arial"/>
          <w:i w:val="0"/>
          <w:iCs w:val="0"/>
          <w:caps w:val="0"/>
          <w:color w:val="222222"/>
          <w:spacing w:val="0"/>
          <w:kern w:val="0"/>
          <w:sz w:val="30"/>
          <w:szCs w:val="30"/>
          <w:lang w:val="en-US" w:eastAsia="zh-CN" w:bidi="ar"/>
        </w:rPr>
        <w:t>1、因公出国（境）费用支出决算为0万元，共计0组， 0人次，与上年决算数持平</w:t>
      </w:r>
      <w:r>
        <w:rPr>
          <w:rFonts w:hint="eastAsia" w:ascii="Arial" w:hAnsi="Arial" w:eastAsia="宋体" w:cs="Arial"/>
          <w:i w:val="0"/>
          <w:iCs w:val="0"/>
          <w:caps w:val="0"/>
          <w:color w:val="222222"/>
          <w:spacing w:val="0"/>
          <w:kern w:val="0"/>
          <w:sz w:val="30"/>
          <w:szCs w:val="30"/>
          <w:lang w:val="en-US" w:eastAsia="zh-CN" w:bidi="ar"/>
        </w:rPr>
        <w:t>，原因是本年度无出国计划</w:t>
      </w:r>
      <w:r>
        <w:rPr>
          <w:rFonts w:hint="default" w:ascii="Arial" w:hAnsi="Arial" w:eastAsia="宋体" w:cs="Arial"/>
          <w:i w:val="0"/>
          <w:iCs w:val="0"/>
          <w:caps w:val="0"/>
          <w:color w:val="222222"/>
          <w:spacing w:val="0"/>
          <w:kern w:val="0"/>
          <w:sz w:val="30"/>
          <w:szCs w:val="30"/>
          <w:lang w:val="en-US" w:eastAsia="zh-CN" w:bidi="ar"/>
        </w:rPr>
        <w:t>。与2021年预算数持平</w:t>
      </w:r>
      <w:r>
        <w:rPr>
          <w:rFonts w:hint="eastAsia" w:ascii="Arial" w:hAnsi="Arial" w:eastAsia="宋体" w:cs="Arial"/>
          <w:i w:val="0"/>
          <w:iCs w:val="0"/>
          <w:caps w:val="0"/>
          <w:color w:val="222222"/>
          <w:spacing w:val="0"/>
          <w:kern w:val="0"/>
          <w:sz w:val="30"/>
          <w:szCs w:val="30"/>
          <w:lang w:val="en-US" w:eastAsia="zh-CN" w:bidi="ar"/>
        </w:rPr>
        <w:t>，原因是本年度无出国计划</w:t>
      </w:r>
      <w:r>
        <w:rPr>
          <w:rFonts w:hint="default" w:ascii="Arial" w:hAnsi="Arial" w:eastAsia="宋体" w:cs="Arial"/>
          <w:i w:val="0"/>
          <w:iCs w:val="0"/>
          <w:caps w:val="0"/>
          <w:color w:val="222222"/>
          <w:spacing w:val="0"/>
          <w:kern w:val="0"/>
          <w:sz w:val="30"/>
          <w:szCs w:val="30"/>
          <w:lang w:val="en-US" w:eastAsia="zh-CN" w:bidi="ar"/>
        </w:rPr>
        <w:t>。</w:t>
      </w:r>
      <w:r>
        <w:rPr>
          <w:rFonts w:hint="default" w:ascii="Arial" w:hAnsi="Arial" w:eastAsia="宋体" w:cs="Arial"/>
          <w:i w:val="0"/>
          <w:iCs w:val="0"/>
          <w:caps w:val="0"/>
          <w:color w:val="222222"/>
          <w:spacing w:val="0"/>
          <w:kern w:val="0"/>
          <w:sz w:val="30"/>
          <w:szCs w:val="30"/>
          <w:lang w:val="en-US" w:eastAsia="zh-CN" w:bidi="ar"/>
        </w:rPr>
        <w:br w:type="textWrapping"/>
      </w:r>
      <w:r>
        <w:rPr>
          <w:rFonts w:hint="eastAsia" w:ascii="Arial" w:hAnsi="Arial" w:eastAsia="宋体" w:cs="Arial"/>
          <w:i w:val="0"/>
          <w:iCs w:val="0"/>
          <w:caps w:val="0"/>
          <w:color w:val="222222"/>
          <w:spacing w:val="0"/>
          <w:kern w:val="0"/>
          <w:sz w:val="30"/>
          <w:szCs w:val="30"/>
          <w:lang w:val="en-US" w:eastAsia="zh-CN" w:bidi="ar"/>
        </w:rPr>
        <w:t xml:space="preserve">   </w:t>
      </w:r>
      <w:r>
        <w:rPr>
          <w:rFonts w:hint="default" w:ascii="Arial" w:hAnsi="Arial" w:eastAsia="宋体" w:cs="Arial"/>
          <w:i w:val="0"/>
          <w:iCs w:val="0"/>
          <w:caps w:val="0"/>
          <w:color w:val="222222"/>
          <w:spacing w:val="0"/>
          <w:kern w:val="0"/>
          <w:sz w:val="30"/>
          <w:szCs w:val="30"/>
          <w:lang w:val="en-US" w:eastAsia="zh-CN" w:bidi="ar"/>
        </w:rPr>
        <w:t>2、2021年公务用车购置及运行维护费支出决算数为3.79万元，与2020年支出决算数4.31万元相比，减少0.52万元，减少原因为单位规范公务用车运行维护费，落实过紧日子要求，压缩公务运行维护费用支出。与2021年预算数10.5万元相比减少6.71万元，减少的原因单位规范公务用车运行维护费，落实过紧日子要求，压缩公务运行维护费用支出。其中：</w:t>
      </w:r>
      <w:r>
        <w:rPr>
          <w:rFonts w:hint="default" w:ascii="Arial" w:hAnsi="Arial" w:eastAsia="宋体" w:cs="Arial"/>
          <w:i w:val="0"/>
          <w:iCs w:val="0"/>
          <w:caps w:val="0"/>
          <w:color w:val="222222"/>
          <w:spacing w:val="0"/>
          <w:kern w:val="0"/>
          <w:sz w:val="30"/>
          <w:szCs w:val="30"/>
          <w:lang w:val="en-US" w:eastAsia="zh-CN" w:bidi="ar"/>
        </w:rPr>
        <w:br w:type="textWrapping"/>
      </w:r>
      <w:r>
        <w:rPr>
          <w:rFonts w:hint="eastAsia" w:ascii="Arial" w:hAnsi="Arial" w:eastAsia="宋体" w:cs="Arial"/>
          <w:i w:val="0"/>
          <w:iCs w:val="0"/>
          <w:caps w:val="0"/>
          <w:color w:val="222222"/>
          <w:spacing w:val="0"/>
          <w:kern w:val="0"/>
          <w:sz w:val="30"/>
          <w:szCs w:val="30"/>
          <w:lang w:val="en-US" w:eastAsia="zh-CN" w:bidi="ar"/>
        </w:rPr>
        <w:t xml:space="preserve">  </w:t>
      </w:r>
      <w:r>
        <w:rPr>
          <w:rFonts w:hint="default" w:ascii="Arial" w:hAnsi="Arial" w:eastAsia="宋体" w:cs="Arial"/>
          <w:i w:val="0"/>
          <w:iCs w:val="0"/>
          <w:caps w:val="0"/>
          <w:color w:val="222222"/>
          <w:spacing w:val="0"/>
          <w:kern w:val="0"/>
          <w:sz w:val="30"/>
          <w:szCs w:val="30"/>
          <w:lang w:val="en-US" w:eastAsia="zh-CN" w:bidi="ar"/>
        </w:rPr>
        <w:t>（1）公务用车购置费支出为0万元，</w:t>
      </w:r>
      <w:r>
        <w:rPr>
          <w:rFonts w:hint="eastAsia" w:ascii="Arial" w:hAnsi="Arial" w:eastAsia="宋体" w:cs="Arial"/>
          <w:i w:val="0"/>
          <w:iCs w:val="0"/>
          <w:caps w:val="0"/>
          <w:color w:val="222222"/>
          <w:spacing w:val="0"/>
          <w:kern w:val="0"/>
          <w:sz w:val="30"/>
          <w:szCs w:val="30"/>
          <w:lang w:val="en-US" w:eastAsia="zh-CN" w:bidi="ar"/>
        </w:rPr>
        <w:t>购买0辆，较年初预算持平，原因是本单位无公车购置计划。与上年决算数持平，原因是上年度也未购置车辆。截至2021年12月31日，本单位车辆保有量2辆，</w:t>
      </w:r>
      <w:r>
        <w:rPr>
          <w:rFonts w:hint="default" w:ascii="Arial" w:hAnsi="Arial" w:eastAsia="宋体" w:cs="Arial"/>
          <w:i w:val="0"/>
          <w:iCs w:val="0"/>
          <w:caps w:val="0"/>
          <w:color w:val="222222"/>
          <w:spacing w:val="0"/>
          <w:kern w:val="0"/>
          <w:sz w:val="30"/>
          <w:szCs w:val="30"/>
          <w:lang w:val="en-US" w:eastAsia="zh-CN" w:bidi="ar"/>
        </w:rPr>
        <w:t>与2020年支出决算数持平，与2021年年初预算数持平</w:t>
      </w:r>
      <w:r>
        <w:rPr>
          <w:rFonts w:hint="eastAsia" w:ascii="Arial" w:hAnsi="Arial" w:eastAsia="宋体" w:cs="Arial"/>
          <w:i w:val="0"/>
          <w:iCs w:val="0"/>
          <w:caps w:val="0"/>
          <w:color w:val="222222"/>
          <w:spacing w:val="0"/>
          <w:kern w:val="0"/>
          <w:sz w:val="30"/>
          <w:szCs w:val="30"/>
          <w:lang w:val="en-US" w:eastAsia="zh-CN" w:bidi="ar"/>
        </w:rPr>
        <w:t>，原因是车改后本单位无公务用车购置计划。</w:t>
      </w:r>
      <w:r>
        <w:rPr>
          <w:rFonts w:hint="default" w:ascii="Arial" w:hAnsi="Arial" w:eastAsia="宋体" w:cs="Arial"/>
          <w:i w:val="0"/>
          <w:iCs w:val="0"/>
          <w:caps w:val="0"/>
          <w:color w:val="222222"/>
          <w:spacing w:val="0"/>
          <w:kern w:val="0"/>
          <w:sz w:val="30"/>
          <w:szCs w:val="30"/>
          <w:lang w:val="en-US" w:eastAsia="zh-CN" w:bidi="ar"/>
        </w:rPr>
        <w:br w:type="textWrapping"/>
      </w:r>
      <w:r>
        <w:rPr>
          <w:rFonts w:hint="eastAsia" w:ascii="Arial" w:hAnsi="Arial" w:eastAsia="宋体" w:cs="Arial"/>
          <w:i w:val="0"/>
          <w:iCs w:val="0"/>
          <w:caps w:val="0"/>
          <w:color w:val="222222"/>
          <w:spacing w:val="0"/>
          <w:kern w:val="0"/>
          <w:sz w:val="30"/>
          <w:szCs w:val="30"/>
          <w:lang w:val="en-US" w:eastAsia="zh-CN" w:bidi="ar"/>
        </w:rPr>
        <w:t xml:space="preserve">  </w:t>
      </w:r>
      <w:r>
        <w:rPr>
          <w:rFonts w:hint="default" w:ascii="Arial" w:hAnsi="Arial" w:eastAsia="宋体" w:cs="Arial"/>
          <w:i w:val="0"/>
          <w:iCs w:val="0"/>
          <w:caps w:val="0"/>
          <w:color w:val="222222"/>
          <w:spacing w:val="0"/>
          <w:kern w:val="0"/>
          <w:sz w:val="30"/>
          <w:szCs w:val="30"/>
          <w:lang w:val="en-US" w:eastAsia="zh-CN" w:bidi="ar"/>
        </w:rPr>
        <w:t>（2）公务用车运行维护费3.79万元。与2020年决算数4.31万元相比，减少了0.52万元，减少的原因是单位规范公务用车运行维护费，落实过紧日子要求，压缩公务运行维护费用支出。与2021年预算数10.5万元相比，减少了6.71万元，减少的原因是单位规范公务用车，落实过紧日子要求，压缩公务用车运行维护费用支出。</w:t>
      </w:r>
    </w:p>
    <w:p w14:paraId="4BA94A56">
      <w:pPr>
        <w:keepNext w:val="0"/>
        <w:keepLines w:val="0"/>
        <w:widowControl/>
        <w:suppressLineNumbers w:val="0"/>
        <w:ind w:firstLine="300" w:firstLineChars="100"/>
        <w:jc w:val="left"/>
        <w:rPr>
          <w:rFonts w:hint="default" w:ascii="Arial" w:hAnsi="Arial" w:cs="Arial"/>
          <w:i w:val="0"/>
          <w:iCs w:val="0"/>
          <w:caps w:val="0"/>
          <w:color w:val="222222"/>
          <w:spacing w:val="0"/>
          <w:sz w:val="30"/>
          <w:szCs w:val="30"/>
        </w:rPr>
      </w:pPr>
      <w:r>
        <w:rPr>
          <w:rFonts w:hint="default" w:ascii="Arial" w:hAnsi="Arial" w:eastAsia="宋体" w:cs="Arial"/>
          <w:i w:val="0"/>
          <w:iCs w:val="0"/>
          <w:caps w:val="0"/>
          <w:color w:val="222222"/>
          <w:spacing w:val="0"/>
          <w:kern w:val="0"/>
          <w:sz w:val="30"/>
          <w:szCs w:val="30"/>
          <w:lang w:val="en-US" w:eastAsia="zh-CN" w:bidi="ar"/>
        </w:rPr>
        <w:t>3、公务接待费预算数为1.36万元，支出决算数为3.25万元。</w:t>
      </w:r>
      <w:r>
        <w:rPr>
          <w:rFonts w:hint="eastAsia" w:ascii="Arial" w:hAnsi="Arial" w:eastAsia="宋体" w:cs="Arial"/>
          <w:i w:val="0"/>
          <w:iCs w:val="0"/>
          <w:caps w:val="0"/>
          <w:color w:val="222222"/>
          <w:spacing w:val="0"/>
          <w:kern w:val="0"/>
          <w:sz w:val="30"/>
          <w:szCs w:val="30"/>
          <w:lang w:val="en-US" w:eastAsia="zh-CN" w:bidi="ar"/>
        </w:rPr>
        <w:t>接</w:t>
      </w:r>
      <w:r>
        <w:rPr>
          <w:rFonts w:hint="default" w:ascii="Arial" w:hAnsi="Arial" w:eastAsia="宋体" w:cs="Arial"/>
          <w:i w:val="0"/>
          <w:iCs w:val="0"/>
          <w:caps w:val="0"/>
          <w:color w:val="222222"/>
          <w:spacing w:val="0"/>
          <w:kern w:val="0"/>
          <w:sz w:val="30"/>
          <w:szCs w:val="30"/>
          <w:lang w:val="en-US" w:eastAsia="zh-CN" w:bidi="ar"/>
        </w:rPr>
        <w:t>待</w:t>
      </w:r>
      <w:r>
        <w:rPr>
          <w:rFonts w:hint="eastAsia" w:ascii="Arial" w:hAnsi="Arial" w:eastAsia="宋体" w:cs="Arial"/>
          <w:i w:val="0"/>
          <w:iCs w:val="0"/>
          <w:caps w:val="0"/>
          <w:color w:val="222222"/>
          <w:spacing w:val="0"/>
          <w:kern w:val="0"/>
          <w:sz w:val="30"/>
          <w:szCs w:val="30"/>
          <w:lang w:val="en-US" w:eastAsia="zh-CN" w:bidi="ar"/>
        </w:rPr>
        <w:t>批次为</w:t>
      </w:r>
      <w:r>
        <w:rPr>
          <w:rFonts w:hint="default" w:ascii="Arial" w:hAnsi="Arial" w:eastAsia="宋体" w:cs="Arial"/>
          <w:i w:val="0"/>
          <w:iCs w:val="0"/>
          <w:caps w:val="0"/>
          <w:color w:val="222222"/>
          <w:spacing w:val="0"/>
          <w:kern w:val="0"/>
          <w:sz w:val="30"/>
          <w:szCs w:val="30"/>
          <w:lang w:val="en-US" w:eastAsia="zh-CN" w:bidi="ar"/>
        </w:rPr>
        <w:t>19批次</w:t>
      </w:r>
      <w:r>
        <w:rPr>
          <w:rFonts w:hint="eastAsia" w:ascii="Arial" w:hAnsi="Arial" w:eastAsia="宋体" w:cs="Arial"/>
          <w:i w:val="0"/>
          <w:iCs w:val="0"/>
          <w:caps w:val="0"/>
          <w:color w:val="222222"/>
          <w:spacing w:val="0"/>
          <w:kern w:val="0"/>
          <w:sz w:val="30"/>
          <w:szCs w:val="30"/>
          <w:lang w:val="en-US" w:eastAsia="zh-CN" w:bidi="ar"/>
        </w:rPr>
        <w:t>，接待人数为</w:t>
      </w:r>
      <w:r>
        <w:rPr>
          <w:rFonts w:hint="default" w:ascii="Arial" w:hAnsi="Arial" w:eastAsia="宋体" w:cs="Arial"/>
          <w:i w:val="0"/>
          <w:iCs w:val="0"/>
          <w:caps w:val="0"/>
          <w:color w:val="222222"/>
          <w:spacing w:val="0"/>
          <w:kern w:val="0"/>
          <w:sz w:val="30"/>
          <w:szCs w:val="30"/>
          <w:lang w:val="en-US" w:eastAsia="zh-CN" w:bidi="ar"/>
        </w:rPr>
        <w:t>195人，较2020年支出决算数相比，增加了3.25万元，增加原因为：今年增加了重点项目专项经费，公务接待费相应增加。与2021年预算1.36万元相比，增加了1.89万元，主要原因为2021年扩建了项目，故商务接待量较大，公务接待费用超过了预算。</w:t>
      </w:r>
    </w:p>
    <w:p w14:paraId="5C6462B0">
      <w:pPr>
        <w:pStyle w:val="4"/>
        <w:keepNext w:val="0"/>
        <w:keepLines w:val="0"/>
        <w:widowControl/>
        <w:suppressLineNumbers w:val="0"/>
        <w:ind w:left="0" w:firstLine="0"/>
        <w:rPr>
          <w:rFonts w:hint="default" w:ascii="Arial" w:hAnsi="Arial" w:cs="Arial"/>
          <w:i w:val="0"/>
          <w:iCs w:val="0"/>
          <w:caps w:val="0"/>
          <w:color w:val="222222"/>
          <w:spacing w:val="0"/>
          <w:sz w:val="30"/>
          <w:szCs w:val="30"/>
        </w:rPr>
      </w:pPr>
      <w:r>
        <w:rPr>
          <w:rFonts w:hint="default" w:ascii="Arial" w:hAnsi="Arial" w:cs="Arial"/>
          <w:i w:val="0"/>
          <w:iCs w:val="0"/>
          <w:caps w:val="0"/>
          <w:color w:val="222222"/>
          <w:spacing w:val="0"/>
          <w:sz w:val="30"/>
          <w:szCs w:val="30"/>
        </w:rPr>
        <w:t>（七）机关运行经费支出情况</w:t>
      </w:r>
    </w:p>
    <w:p w14:paraId="0EEBAD27">
      <w:pPr>
        <w:keepNext w:val="0"/>
        <w:keepLines w:val="0"/>
        <w:widowControl/>
        <w:suppressLineNumbers w:val="0"/>
        <w:ind w:left="0" w:firstLine="0"/>
        <w:jc w:val="left"/>
        <w:rPr>
          <w:rFonts w:hint="default" w:ascii="Arial" w:hAnsi="Arial" w:cs="Arial"/>
          <w:i w:val="0"/>
          <w:iCs w:val="0"/>
          <w:caps w:val="0"/>
          <w:color w:val="222222"/>
          <w:spacing w:val="0"/>
          <w:sz w:val="30"/>
          <w:szCs w:val="30"/>
          <w:lang w:val="en-US"/>
        </w:rPr>
      </w:pPr>
      <w:r>
        <w:rPr>
          <w:rFonts w:hint="default" w:ascii="Arial" w:hAnsi="Arial" w:eastAsia="宋体" w:cs="Arial"/>
          <w:i w:val="0"/>
          <w:iCs w:val="0"/>
          <w:caps w:val="0"/>
          <w:color w:val="222222"/>
          <w:spacing w:val="0"/>
          <w:kern w:val="0"/>
          <w:sz w:val="30"/>
          <w:szCs w:val="30"/>
          <w:lang w:val="en-US" w:eastAsia="zh-CN" w:bidi="ar"/>
        </w:rPr>
        <w:t> </w:t>
      </w:r>
      <w:r>
        <w:rPr>
          <w:rFonts w:hint="eastAsia" w:ascii="Arial" w:hAnsi="Arial" w:eastAsia="宋体" w:cs="Arial"/>
          <w:i w:val="0"/>
          <w:iCs w:val="0"/>
          <w:caps w:val="0"/>
          <w:color w:val="222222"/>
          <w:spacing w:val="0"/>
          <w:kern w:val="0"/>
          <w:sz w:val="30"/>
          <w:szCs w:val="30"/>
          <w:lang w:val="en-US" w:eastAsia="zh-CN" w:bidi="ar"/>
        </w:rPr>
        <w:t xml:space="preserve">    </w:t>
      </w:r>
      <w:r>
        <w:rPr>
          <w:rFonts w:hint="default" w:ascii="Arial" w:hAnsi="Arial" w:eastAsia="宋体" w:cs="Arial"/>
          <w:i w:val="0"/>
          <w:iCs w:val="0"/>
          <w:caps w:val="0"/>
          <w:color w:val="222222"/>
          <w:spacing w:val="0"/>
          <w:kern w:val="0"/>
          <w:sz w:val="30"/>
          <w:szCs w:val="30"/>
          <w:lang w:val="en-US" w:eastAsia="zh-CN" w:bidi="ar"/>
        </w:rPr>
        <w:t>2021年度机关运行经费支出56.8万元，主要用于办公费、邮电费、差旅费、培训费、日常维修费、水电费、</w:t>
      </w:r>
      <w:r>
        <w:rPr>
          <w:rFonts w:hint="eastAsia" w:ascii="Arial" w:hAnsi="Arial" w:eastAsia="宋体" w:cs="Arial"/>
          <w:i w:val="0"/>
          <w:iCs w:val="0"/>
          <w:caps w:val="0"/>
          <w:color w:val="222222"/>
          <w:spacing w:val="0"/>
          <w:kern w:val="0"/>
          <w:sz w:val="30"/>
          <w:szCs w:val="30"/>
          <w:lang w:val="en-US" w:eastAsia="zh-CN" w:bidi="ar"/>
        </w:rPr>
        <w:t>租赁费、</w:t>
      </w:r>
      <w:r>
        <w:rPr>
          <w:rFonts w:hint="default" w:ascii="Arial" w:hAnsi="Arial" w:eastAsia="宋体" w:cs="Arial"/>
          <w:i w:val="0"/>
          <w:iCs w:val="0"/>
          <w:caps w:val="0"/>
          <w:color w:val="222222"/>
          <w:spacing w:val="0"/>
          <w:kern w:val="0"/>
          <w:sz w:val="30"/>
          <w:szCs w:val="30"/>
          <w:lang w:val="en-US" w:eastAsia="zh-CN" w:bidi="ar"/>
        </w:rPr>
        <w:t>劳务费、委托业务费、工会经费、福利费</w:t>
      </w:r>
      <w:r>
        <w:rPr>
          <w:rFonts w:hint="eastAsia" w:ascii="Arial" w:hAnsi="Arial" w:eastAsia="宋体" w:cs="Arial"/>
          <w:i w:val="0"/>
          <w:iCs w:val="0"/>
          <w:caps w:val="0"/>
          <w:color w:val="222222"/>
          <w:spacing w:val="0"/>
          <w:kern w:val="0"/>
          <w:sz w:val="30"/>
          <w:szCs w:val="30"/>
          <w:lang w:val="en-US" w:eastAsia="zh-CN" w:bidi="ar"/>
        </w:rPr>
        <w:t>、公务用车运行维护费</w:t>
      </w:r>
      <w:r>
        <w:rPr>
          <w:rFonts w:hint="default" w:ascii="Arial" w:hAnsi="Arial" w:eastAsia="宋体" w:cs="Arial"/>
          <w:i w:val="0"/>
          <w:iCs w:val="0"/>
          <w:caps w:val="0"/>
          <w:color w:val="222222"/>
          <w:spacing w:val="0"/>
          <w:kern w:val="0"/>
          <w:sz w:val="30"/>
          <w:szCs w:val="30"/>
          <w:lang w:val="en-US" w:eastAsia="zh-CN" w:bidi="ar"/>
        </w:rPr>
        <w:t>以及其他费用</w:t>
      </w:r>
      <w:r>
        <w:rPr>
          <w:rFonts w:hint="eastAsia" w:ascii="Arial" w:hAnsi="Arial" w:eastAsia="宋体" w:cs="Arial"/>
          <w:i w:val="0"/>
          <w:iCs w:val="0"/>
          <w:caps w:val="0"/>
          <w:color w:val="222222"/>
          <w:spacing w:val="0"/>
          <w:kern w:val="0"/>
          <w:sz w:val="30"/>
          <w:szCs w:val="30"/>
          <w:lang w:val="en-US" w:eastAsia="zh-CN" w:bidi="ar"/>
        </w:rPr>
        <w:t>，</w:t>
      </w:r>
      <w:r>
        <w:rPr>
          <w:rFonts w:hint="default" w:ascii="Arial" w:hAnsi="Arial" w:eastAsia="宋体" w:cs="Arial"/>
          <w:i w:val="0"/>
          <w:iCs w:val="0"/>
          <w:caps w:val="0"/>
          <w:color w:val="222222"/>
          <w:spacing w:val="0"/>
          <w:kern w:val="0"/>
          <w:sz w:val="30"/>
          <w:szCs w:val="30"/>
          <w:lang w:val="en-US" w:eastAsia="zh-CN" w:bidi="ar"/>
        </w:rPr>
        <w:t>与2021年预算数相比，增加了24.44万元,主要原因是</w:t>
      </w:r>
      <w:r>
        <w:rPr>
          <w:rFonts w:hint="eastAsia" w:ascii="Arial" w:hAnsi="Arial" w:eastAsia="宋体" w:cs="Arial"/>
          <w:i w:val="0"/>
          <w:iCs w:val="0"/>
          <w:caps w:val="0"/>
          <w:color w:val="222222"/>
          <w:spacing w:val="0"/>
          <w:kern w:val="0"/>
          <w:sz w:val="30"/>
          <w:szCs w:val="30"/>
          <w:lang w:val="en-US" w:eastAsia="zh-CN" w:bidi="ar"/>
        </w:rPr>
        <w:t>：</w:t>
      </w:r>
      <w:r>
        <w:rPr>
          <w:rFonts w:hint="default" w:ascii="Arial" w:hAnsi="Arial" w:eastAsia="宋体" w:cs="Arial"/>
          <w:i w:val="0"/>
          <w:iCs w:val="0"/>
          <w:caps w:val="0"/>
          <w:color w:val="222222"/>
          <w:spacing w:val="0"/>
          <w:kern w:val="0"/>
          <w:sz w:val="30"/>
          <w:szCs w:val="30"/>
          <w:lang w:val="en-US" w:eastAsia="zh-CN" w:bidi="ar"/>
        </w:rPr>
        <w:t>办公费及委托业务费用增加。</w:t>
      </w:r>
      <w:r>
        <w:rPr>
          <w:rFonts w:hint="eastAsia" w:ascii="Arial" w:hAnsi="Arial" w:eastAsia="宋体" w:cs="Arial"/>
          <w:i w:val="0"/>
          <w:iCs w:val="0"/>
          <w:caps w:val="0"/>
          <w:color w:val="222222"/>
          <w:spacing w:val="0"/>
          <w:kern w:val="0"/>
          <w:sz w:val="30"/>
          <w:szCs w:val="30"/>
          <w:lang w:val="en-US" w:eastAsia="zh-CN" w:bidi="ar"/>
        </w:rPr>
        <w:t>与2020年决算数22.25万元相比，增加了34.55万元，主要原因是：办公费及委托业务费用增加。</w:t>
      </w:r>
    </w:p>
    <w:p w14:paraId="6868A109">
      <w:pPr>
        <w:pStyle w:val="4"/>
        <w:keepNext w:val="0"/>
        <w:keepLines w:val="0"/>
        <w:widowControl/>
        <w:suppressLineNumbers w:val="0"/>
        <w:ind w:left="0" w:firstLine="0"/>
        <w:rPr>
          <w:rFonts w:hint="default" w:ascii="Arial" w:hAnsi="Arial" w:cs="Arial"/>
          <w:i w:val="0"/>
          <w:iCs w:val="0"/>
          <w:caps w:val="0"/>
          <w:color w:val="222222"/>
          <w:spacing w:val="0"/>
          <w:sz w:val="30"/>
          <w:szCs w:val="30"/>
        </w:rPr>
      </w:pPr>
      <w:r>
        <w:rPr>
          <w:rFonts w:hint="default" w:ascii="Arial" w:hAnsi="Arial" w:cs="Arial"/>
          <w:i w:val="0"/>
          <w:iCs w:val="0"/>
          <w:caps w:val="0"/>
          <w:color w:val="222222"/>
          <w:spacing w:val="0"/>
          <w:sz w:val="30"/>
          <w:szCs w:val="30"/>
        </w:rPr>
        <w:t>（八）政府采购支出情况</w:t>
      </w:r>
    </w:p>
    <w:p w14:paraId="685FA414">
      <w:pPr>
        <w:keepNext w:val="0"/>
        <w:keepLines w:val="0"/>
        <w:widowControl/>
        <w:suppressLineNumbers w:val="0"/>
        <w:ind w:left="0" w:firstLine="600" w:firstLineChars="200"/>
        <w:jc w:val="left"/>
        <w:rPr>
          <w:rFonts w:hint="default" w:ascii="Arial" w:hAnsi="Arial" w:cs="Arial"/>
          <w:i w:val="0"/>
          <w:iCs w:val="0"/>
          <w:caps w:val="0"/>
          <w:color w:val="222222"/>
          <w:spacing w:val="0"/>
          <w:sz w:val="30"/>
          <w:szCs w:val="30"/>
        </w:rPr>
      </w:pPr>
      <w:r>
        <w:rPr>
          <w:rFonts w:hint="default" w:ascii="Arial" w:hAnsi="Arial" w:eastAsia="宋体" w:cs="Arial"/>
          <w:i w:val="0"/>
          <w:iCs w:val="0"/>
          <w:caps w:val="0"/>
          <w:color w:val="222222"/>
          <w:spacing w:val="0"/>
          <w:kern w:val="0"/>
          <w:sz w:val="30"/>
          <w:szCs w:val="30"/>
          <w:lang w:val="en-US" w:eastAsia="zh-CN" w:bidi="ar"/>
        </w:rPr>
        <w:t>长乐山工业园2021年政府采购支出总额1763.5万元，其中政府采购货物支出6.5万元，政府采购工程工程支出1722万元，政府采购服务支出35万元。授予中小企业合同金额1397.17万元，占政府采购支出总额的79.23%，其中，授予小微企业合同金额838.31万元，占政府采购支出总额的47.54%。与2020年政府支出采购总额141.81万元相比，增加了1621.69万元，主要原因是2021年增加了基础设施建设项目的政府采购支出。</w:t>
      </w:r>
    </w:p>
    <w:p w14:paraId="551EF409">
      <w:pPr>
        <w:pStyle w:val="4"/>
        <w:keepNext w:val="0"/>
        <w:keepLines w:val="0"/>
        <w:widowControl/>
        <w:suppressLineNumbers w:val="0"/>
        <w:ind w:left="0" w:firstLine="0"/>
        <w:rPr>
          <w:rFonts w:hint="default" w:ascii="Arial" w:hAnsi="Arial" w:cs="Arial"/>
          <w:i w:val="0"/>
          <w:iCs w:val="0"/>
          <w:caps w:val="0"/>
          <w:color w:val="222222"/>
          <w:spacing w:val="0"/>
          <w:sz w:val="30"/>
          <w:szCs w:val="30"/>
        </w:rPr>
      </w:pPr>
      <w:r>
        <w:rPr>
          <w:rFonts w:hint="default" w:ascii="Arial" w:hAnsi="Arial" w:cs="Arial"/>
          <w:i w:val="0"/>
          <w:iCs w:val="0"/>
          <w:caps w:val="0"/>
          <w:color w:val="222222"/>
          <w:spacing w:val="0"/>
          <w:sz w:val="30"/>
          <w:szCs w:val="30"/>
        </w:rPr>
        <w:t>（九）国有资产占用情况</w:t>
      </w:r>
    </w:p>
    <w:p w14:paraId="2ED9BC69">
      <w:pPr>
        <w:keepNext w:val="0"/>
        <w:keepLines w:val="0"/>
        <w:widowControl/>
        <w:suppressLineNumbers w:val="0"/>
        <w:ind w:left="0" w:firstLine="600" w:firstLineChars="200"/>
        <w:jc w:val="left"/>
        <w:rPr>
          <w:rFonts w:hint="default" w:ascii="Arial" w:hAnsi="Arial" w:cs="Arial"/>
          <w:i w:val="0"/>
          <w:iCs w:val="0"/>
          <w:caps w:val="0"/>
          <w:color w:val="222222"/>
          <w:spacing w:val="0"/>
          <w:sz w:val="30"/>
          <w:szCs w:val="30"/>
        </w:rPr>
      </w:pPr>
      <w:r>
        <w:rPr>
          <w:rFonts w:hint="default" w:ascii="Arial" w:hAnsi="Arial" w:eastAsia="宋体" w:cs="Arial"/>
          <w:i w:val="0"/>
          <w:iCs w:val="0"/>
          <w:caps w:val="0"/>
          <w:color w:val="222222"/>
          <w:spacing w:val="0"/>
          <w:kern w:val="0"/>
          <w:sz w:val="30"/>
          <w:szCs w:val="30"/>
          <w:lang w:val="en-US" w:eastAsia="zh-CN" w:bidi="ar"/>
        </w:rPr>
        <w:t>截至2021年12月31日，长乐山工业园共有车辆数3辆，其中：公务用车0辆、机要通信用车0辆、应急保障用车0辆、执法执勤用车2辆、特种专业技术用车0辆、其他用车1辆，其他用车主要是垃圾转运车辆；单位价值50万元以上通用设备0台；单位价值100万元以上专用设备0台。</w:t>
      </w:r>
    </w:p>
    <w:p w14:paraId="3DD3F855">
      <w:pPr>
        <w:pStyle w:val="4"/>
        <w:keepNext w:val="0"/>
        <w:keepLines w:val="0"/>
        <w:widowControl/>
        <w:suppressLineNumbers w:val="0"/>
        <w:ind w:left="0" w:firstLine="0"/>
        <w:rPr>
          <w:rFonts w:hint="default" w:ascii="Arial" w:hAnsi="Arial" w:cs="Arial"/>
          <w:i w:val="0"/>
          <w:iCs w:val="0"/>
          <w:caps w:val="0"/>
          <w:color w:val="222222"/>
          <w:spacing w:val="0"/>
          <w:sz w:val="30"/>
          <w:szCs w:val="30"/>
        </w:rPr>
      </w:pPr>
      <w:r>
        <w:rPr>
          <w:rFonts w:hint="default" w:ascii="Arial" w:hAnsi="Arial" w:cs="Arial"/>
          <w:i w:val="0"/>
          <w:iCs w:val="0"/>
          <w:caps w:val="0"/>
          <w:color w:val="222222"/>
          <w:spacing w:val="0"/>
          <w:sz w:val="30"/>
          <w:szCs w:val="30"/>
        </w:rPr>
        <w:t>（十）其他情况</w:t>
      </w:r>
    </w:p>
    <w:p w14:paraId="603AAF20">
      <w:pPr>
        <w:keepNext w:val="0"/>
        <w:keepLines w:val="0"/>
        <w:widowControl/>
        <w:suppressLineNumbers w:val="0"/>
        <w:ind w:left="0" w:firstLine="600" w:firstLineChars="200"/>
        <w:jc w:val="left"/>
        <w:rPr>
          <w:rFonts w:hint="default" w:ascii="Arial" w:hAnsi="Arial" w:cs="Arial"/>
          <w:i w:val="0"/>
          <w:iCs w:val="0"/>
          <w:caps w:val="0"/>
          <w:color w:val="222222"/>
          <w:spacing w:val="0"/>
          <w:sz w:val="30"/>
          <w:szCs w:val="30"/>
        </w:rPr>
      </w:pPr>
      <w:r>
        <w:rPr>
          <w:rFonts w:hint="default" w:ascii="Arial" w:hAnsi="Arial" w:eastAsia="宋体" w:cs="Arial"/>
          <w:i w:val="0"/>
          <w:iCs w:val="0"/>
          <w:caps w:val="0"/>
          <w:color w:val="222222"/>
          <w:spacing w:val="0"/>
          <w:kern w:val="0"/>
          <w:sz w:val="30"/>
          <w:szCs w:val="30"/>
          <w:lang w:val="en-US" w:eastAsia="zh-CN" w:bidi="ar"/>
        </w:rPr>
        <w:t>长乐山工业园2021年无举借政府债务、无扶贫专项资金、无政府性基金预算收支、无财政专项支出、无专项转移支付。</w:t>
      </w:r>
    </w:p>
    <w:p w14:paraId="67C78C2D">
      <w:pPr>
        <w:pStyle w:val="3"/>
        <w:keepNext w:val="0"/>
        <w:keepLines w:val="0"/>
        <w:widowControl/>
        <w:suppressLineNumbers w:val="0"/>
        <w:ind w:left="0" w:firstLine="0"/>
        <w:rPr>
          <w:rFonts w:hint="default" w:ascii="Arial" w:hAnsi="Arial" w:cs="Arial"/>
          <w:i w:val="0"/>
          <w:iCs w:val="0"/>
          <w:caps w:val="0"/>
          <w:color w:val="222222"/>
          <w:spacing w:val="0"/>
        </w:rPr>
      </w:pPr>
      <w:r>
        <w:rPr>
          <w:rFonts w:hint="default" w:ascii="Arial" w:hAnsi="Arial" w:cs="Arial"/>
          <w:i w:val="0"/>
          <w:iCs w:val="0"/>
          <w:caps w:val="0"/>
          <w:color w:val="222222"/>
          <w:spacing w:val="0"/>
        </w:rPr>
        <w:t>四、2021年度预算绩效情况的说明</w:t>
      </w:r>
    </w:p>
    <w:p w14:paraId="117506FB">
      <w:pPr>
        <w:keepNext w:val="0"/>
        <w:keepLines w:val="0"/>
        <w:widowControl/>
        <w:numPr>
          <w:ilvl w:val="0"/>
          <w:numId w:val="1"/>
        </w:numPr>
        <w:suppressLineNumbers w:val="0"/>
        <w:ind w:left="300" w:hanging="300" w:hangingChars="100"/>
        <w:jc w:val="left"/>
        <w:rPr>
          <w:rFonts w:hint="default" w:ascii="Arial" w:hAnsi="Arial" w:eastAsia="宋体" w:cs="Arial"/>
          <w:i w:val="0"/>
          <w:iCs w:val="0"/>
          <w:caps w:val="0"/>
          <w:color w:val="222222"/>
          <w:spacing w:val="0"/>
          <w:kern w:val="0"/>
          <w:sz w:val="30"/>
          <w:szCs w:val="30"/>
          <w:lang w:val="en-US" w:eastAsia="zh-CN" w:bidi="ar"/>
        </w:rPr>
      </w:pPr>
      <w:r>
        <w:rPr>
          <w:rFonts w:hint="default" w:ascii="Arial" w:hAnsi="Arial" w:eastAsia="宋体" w:cs="Arial"/>
          <w:i w:val="0"/>
          <w:iCs w:val="0"/>
          <w:caps w:val="0"/>
          <w:color w:val="222222"/>
          <w:spacing w:val="0"/>
          <w:kern w:val="0"/>
          <w:sz w:val="30"/>
          <w:szCs w:val="30"/>
          <w:lang w:val="en-US" w:eastAsia="zh-CN" w:bidi="ar"/>
        </w:rPr>
        <w:t>预算绩效管理工作开展情况</w:t>
      </w:r>
    </w:p>
    <w:p w14:paraId="182FE9E1">
      <w:pPr>
        <w:keepNext w:val="0"/>
        <w:keepLines w:val="0"/>
        <w:widowControl/>
        <w:numPr>
          <w:ilvl w:val="0"/>
          <w:numId w:val="0"/>
        </w:numPr>
        <w:suppressLineNumbers w:val="0"/>
        <w:ind w:leftChars="-100" w:firstLine="600" w:firstLineChars="200"/>
        <w:jc w:val="left"/>
        <w:rPr>
          <w:rFonts w:hint="default" w:ascii="Arial" w:hAnsi="Arial" w:eastAsia="宋体" w:cs="Arial"/>
          <w:i w:val="0"/>
          <w:iCs w:val="0"/>
          <w:caps w:val="0"/>
          <w:color w:val="222222"/>
          <w:spacing w:val="0"/>
          <w:kern w:val="0"/>
          <w:sz w:val="30"/>
          <w:szCs w:val="30"/>
          <w:lang w:val="en-US" w:eastAsia="zh-CN" w:bidi="ar"/>
        </w:rPr>
      </w:pPr>
      <w:r>
        <w:rPr>
          <w:rFonts w:hint="default" w:ascii="Arial" w:hAnsi="Arial" w:eastAsia="宋体" w:cs="Arial"/>
          <w:i w:val="0"/>
          <w:iCs w:val="0"/>
          <w:caps w:val="0"/>
          <w:color w:val="222222"/>
          <w:spacing w:val="0"/>
          <w:kern w:val="0"/>
          <w:sz w:val="30"/>
          <w:szCs w:val="30"/>
          <w:lang w:val="en-US" w:eastAsia="zh-CN" w:bidi="ar"/>
        </w:rPr>
        <w:t>根据预算绩效管理要求，我单位组织对2021年度一般公共预算项目支出全面开展绩效自评，共涉及项目1个，资金52万元，占一般公共预算项目支出总额的100%。从评价情况来看我单位2021年各项目绩效目标基本完成，项目立项程序完整、规范，绩效目标明确。预算编制合理，预算执行及时、有效；项目支出绩效自评结果较好，绩效管理水平不断提高，绩效指标体系建设逐渐丰富和完善。</w:t>
      </w:r>
      <w:r>
        <w:rPr>
          <w:rFonts w:hint="default" w:ascii="Arial" w:hAnsi="Arial" w:eastAsia="宋体" w:cs="Arial"/>
          <w:i w:val="0"/>
          <w:iCs w:val="0"/>
          <w:caps w:val="0"/>
          <w:color w:val="222222"/>
          <w:spacing w:val="0"/>
          <w:kern w:val="0"/>
          <w:sz w:val="30"/>
          <w:szCs w:val="30"/>
          <w:lang w:val="en-US" w:eastAsia="zh-CN" w:bidi="ar"/>
        </w:rPr>
        <w:br w:type="textWrapping"/>
      </w:r>
      <w:r>
        <w:rPr>
          <w:rFonts w:hint="default" w:ascii="Arial" w:hAnsi="Arial" w:eastAsia="宋体" w:cs="Arial"/>
          <w:i w:val="0"/>
          <w:iCs w:val="0"/>
          <w:caps w:val="0"/>
          <w:color w:val="222222"/>
          <w:spacing w:val="0"/>
          <w:kern w:val="0"/>
          <w:sz w:val="30"/>
          <w:szCs w:val="30"/>
          <w:lang w:val="en-US" w:eastAsia="zh-CN" w:bidi="ar"/>
        </w:rPr>
        <w:t>    </w:t>
      </w:r>
      <w:r>
        <w:rPr>
          <w:rFonts w:hint="eastAsia" w:ascii="Arial" w:hAnsi="Arial" w:eastAsia="宋体" w:cs="Arial"/>
          <w:i w:val="0"/>
          <w:iCs w:val="0"/>
          <w:caps w:val="0"/>
          <w:color w:val="222222"/>
          <w:spacing w:val="0"/>
          <w:kern w:val="0"/>
          <w:sz w:val="30"/>
          <w:szCs w:val="30"/>
          <w:lang w:val="en-US" w:eastAsia="zh-CN" w:bidi="ar"/>
        </w:rPr>
        <w:t xml:space="preserve">  </w:t>
      </w:r>
      <w:r>
        <w:rPr>
          <w:rFonts w:hint="default" w:ascii="Arial" w:hAnsi="Arial" w:eastAsia="宋体" w:cs="Arial"/>
          <w:i w:val="0"/>
          <w:iCs w:val="0"/>
          <w:caps w:val="0"/>
          <w:color w:val="222222"/>
          <w:spacing w:val="0"/>
          <w:kern w:val="0"/>
          <w:sz w:val="30"/>
          <w:szCs w:val="30"/>
          <w:lang w:val="en-US" w:eastAsia="zh-CN" w:bidi="ar"/>
        </w:rPr>
        <w:t>组织开展了部门整体支出绩效评价工作，从评价情况来看，整体支出资金严格按照相关法律法规、规范性文件的要求进行支出，预算执行总额控制在年初预算批复和预算追加额度内且有结余；产出情况良好，各项工作在预定时间内及时实施完成，绝大部分产出指标的指标值已达到年初设定目标值；项目实施效果比较明显，绝大部分效益指标的指标值已达到年初设定目标值</w:t>
      </w:r>
      <w:r>
        <w:rPr>
          <w:rFonts w:hint="default" w:ascii="Arial" w:hAnsi="Arial" w:eastAsia="宋体" w:cs="Arial"/>
          <w:i w:val="0"/>
          <w:iCs w:val="0"/>
          <w:caps w:val="0"/>
          <w:color w:val="222222"/>
          <w:spacing w:val="0"/>
          <w:kern w:val="0"/>
          <w:sz w:val="30"/>
          <w:szCs w:val="30"/>
          <w:lang w:val="en-US" w:eastAsia="zh-CN" w:bidi="ar"/>
        </w:rPr>
        <w:br w:type="textWrapping"/>
      </w:r>
      <w:r>
        <w:rPr>
          <w:rFonts w:hint="default" w:ascii="Arial" w:hAnsi="Arial" w:eastAsia="宋体" w:cs="Arial"/>
          <w:i w:val="0"/>
          <w:iCs w:val="0"/>
          <w:caps w:val="0"/>
          <w:color w:val="222222"/>
          <w:spacing w:val="0"/>
          <w:kern w:val="0"/>
          <w:sz w:val="30"/>
          <w:szCs w:val="30"/>
          <w:lang w:val="en-US" w:eastAsia="zh-CN" w:bidi="ar"/>
        </w:rPr>
        <w:t>（二）部门决算中项目绩效自评结果</w:t>
      </w:r>
      <w:r>
        <w:rPr>
          <w:rFonts w:hint="default" w:ascii="Arial" w:hAnsi="Arial" w:eastAsia="宋体" w:cs="Arial"/>
          <w:i w:val="0"/>
          <w:iCs w:val="0"/>
          <w:caps w:val="0"/>
          <w:color w:val="222222"/>
          <w:spacing w:val="0"/>
          <w:kern w:val="0"/>
          <w:sz w:val="30"/>
          <w:szCs w:val="30"/>
          <w:lang w:val="en-US" w:eastAsia="zh-CN" w:bidi="ar"/>
        </w:rPr>
        <w:br w:type="textWrapping"/>
      </w:r>
      <w:r>
        <w:rPr>
          <w:rFonts w:hint="eastAsia" w:ascii="Arial" w:hAnsi="Arial" w:eastAsia="宋体" w:cs="Arial"/>
          <w:i w:val="0"/>
          <w:iCs w:val="0"/>
          <w:caps w:val="0"/>
          <w:color w:val="222222"/>
          <w:spacing w:val="0"/>
          <w:kern w:val="0"/>
          <w:sz w:val="30"/>
          <w:szCs w:val="30"/>
          <w:lang w:val="en-US" w:eastAsia="zh-CN" w:bidi="ar"/>
        </w:rPr>
        <w:t xml:space="preserve">    </w:t>
      </w:r>
      <w:r>
        <w:rPr>
          <w:rFonts w:hint="default" w:ascii="Arial" w:hAnsi="Arial" w:eastAsia="宋体" w:cs="Arial"/>
          <w:i w:val="0"/>
          <w:iCs w:val="0"/>
          <w:caps w:val="0"/>
          <w:color w:val="222222"/>
          <w:spacing w:val="0"/>
          <w:kern w:val="0"/>
          <w:sz w:val="30"/>
          <w:szCs w:val="30"/>
          <w:lang w:val="en-US" w:eastAsia="zh-CN" w:bidi="ar"/>
        </w:rPr>
        <w:t>我单位今年在部门决算中反映所有项目绩效自评结果（涉密项目除外）。</w:t>
      </w:r>
      <w:r>
        <w:rPr>
          <w:rFonts w:hint="default" w:ascii="Arial" w:hAnsi="Arial" w:eastAsia="宋体" w:cs="Arial"/>
          <w:i w:val="0"/>
          <w:iCs w:val="0"/>
          <w:caps w:val="0"/>
          <w:color w:val="222222"/>
          <w:spacing w:val="0"/>
          <w:kern w:val="0"/>
          <w:sz w:val="30"/>
          <w:szCs w:val="30"/>
          <w:lang w:val="en-US" w:eastAsia="zh-CN" w:bidi="ar"/>
        </w:rPr>
        <w:br w:type="textWrapping"/>
      </w:r>
      <w:r>
        <w:rPr>
          <w:rFonts w:hint="eastAsia" w:ascii="Arial" w:hAnsi="Arial" w:eastAsia="宋体" w:cs="Arial"/>
          <w:i w:val="0"/>
          <w:iCs w:val="0"/>
          <w:caps w:val="0"/>
          <w:color w:val="222222"/>
          <w:spacing w:val="0"/>
          <w:kern w:val="0"/>
          <w:sz w:val="30"/>
          <w:szCs w:val="30"/>
          <w:lang w:val="en-US" w:eastAsia="zh-CN" w:bidi="ar"/>
        </w:rPr>
        <w:t xml:space="preserve">    </w:t>
      </w:r>
      <w:r>
        <w:rPr>
          <w:rFonts w:hint="default" w:ascii="Arial" w:hAnsi="Arial" w:eastAsia="宋体" w:cs="Arial"/>
          <w:i w:val="0"/>
          <w:iCs w:val="0"/>
          <w:caps w:val="0"/>
          <w:color w:val="222222"/>
          <w:spacing w:val="0"/>
          <w:kern w:val="0"/>
          <w:sz w:val="30"/>
          <w:szCs w:val="30"/>
          <w:lang w:val="en-US" w:eastAsia="zh-CN" w:bidi="ar"/>
        </w:rPr>
        <w:t>项目全年预算数为52万元，其中：一般公共预算财政拨款52万元。执行数为52万元，完成预算100%。主要产出和效益如下：</w:t>
      </w:r>
    </w:p>
    <w:p w14:paraId="67DD25AF">
      <w:pPr>
        <w:keepNext w:val="0"/>
        <w:keepLines w:val="0"/>
        <w:widowControl/>
        <w:numPr>
          <w:ilvl w:val="0"/>
          <w:numId w:val="0"/>
        </w:numPr>
        <w:suppressLineNumbers w:val="0"/>
        <w:ind w:firstLine="600" w:firstLineChars="200"/>
        <w:jc w:val="left"/>
        <w:rPr>
          <w:rFonts w:hint="default" w:ascii="Arial" w:hAnsi="Arial" w:eastAsia="宋体" w:cs="Arial"/>
          <w:i w:val="0"/>
          <w:iCs w:val="0"/>
          <w:caps w:val="0"/>
          <w:color w:val="222222"/>
          <w:spacing w:val="0"/>
          <w:kern w:val="0"/>
          <w:sz w:val="30"/>
          <w:szCs w:val="30"/>
          <w:lang w:val="en-US" w:eastAsia="zh-CN" w:bidi="ar"/>
        </w:rPr>
      </w:pPr>
      <w:r>
        <w:rPr>
          <w:rFonts w:hint="eastAsia" w:ascii="Arial" w:hAnsi="Arial" w:eastAsia="宋体" w:cs="Arial"/>
          <w:i w:val="0"/>
          <w:iCs w:val="0"/>
          <w:caps w:val="0"/>
          <w:color w:val="222222"/>
          <w:spacing w:val="0"/>
          <w:kern w:val="0"/>
          <w:sz w:val="30"/>
          <w:szCs w:val="30"/>
          <w:lang w:val="en-US" w:eastAsia="zh-CN" w:bidi="ar"/>
        </w:rPr>
        <w:t>1、</w:t>
      </w:r>
      <w:r>
        <w:rPr>
          <w:rFonts w:hint="default" w:ascii="Arial" w:hAnsi="Arial" w:eastAsia="宋体" w:cs="Arial"/>
          <w:i w:val="0"/>
          <w:iCs w:val="0"/>
          <w:caps w:val="0"/>
          <w:color w:val="222222"/>
          <w:spacing w:val="0"/>
          <w:kern w:val="0"/>
          <w:sz w:val="30"/>
          <w:szCs w:val="30"/>
          <w:lang w:val="en-US" w:eastAsia="zh-CN" w:bidi="ar"/>
        </w:rPr>
        <w:t>完成城管局下派各类任务率达100%，减少违建量24件，减少违章建筑，加强社会稳定率达98%，群众满意度达98%。</w:t>
      </w:r>
      <w:r>
        <w:rPr>
          <w:rFonts w:hint="default" w:ascii="Arial" w:hAnsi="Arial" w:eastAsia="宋体" w:cs="Arial"/>
          <w:i w:val="0"/>
          <w:iCs w:val="0"/>
          <w:caps w:val="0"/>
          <w:color w:val="222222"/>
          <w:spacing w:val="0"/>
          <w:kern w:val="0"/>
          <w:sz w:val="30"/>
          <w:szCs w:val="30"/>
          <w:lang w:val="en-US" w:eastAsia="zh-CN" w:bidi="ar"/>
        </w:rPr>
        <w:br w:type="textWrapping"/>
      </w:r>
      <w:r>
        <w:rPr>
          <w:rFonts w:hint="eastAsia" w:ascii="Arial" w:hAnsi="Arial" w:eastAsia="宋体" w:cs="Arial"/>
          <w:i w:val="0"/>
          <w:iCs w:val="0"/>
          <w:caps w:val="0"/>
          <w:color w:val="222222"/>
          <w:spacing w:val="0"/>
          <w:kern w:val="0"/>
          <w:sz w:val="30"/>
          <w:szCs w:val="30"/>
          <w:lang w:val="en-US" w:eastAsia="zh-CN" w:bidi="ar"/>
        </w:rPr>
        <w:t xml:space="preserve">    </w:t>
      </w:r>
      <w:r>
        <w:rPr>
          <w:rFonts w:hint="default" w:ascii="Arial" w:hAnsi="Arial" w:eastAsia="宋体" w:cs="Arial"/>
          <w:i w:val="0"/>
          <w:iCs w:val="0"/>
          <w:caps w:val="0"/>
          <w:color w:val="222222"/>
          <w:spacing w:val="0"/>
          <w:kern w:val="0"/>
          <w:sz w:val="30"/>
          <w:szCs w:val="30"/>
          <w:lang w:val="en-US" w:eastAsia="zh-CN" w:bidi="ar"/>
        </w:rPr>
        <w:t>2、完成救助对象4人，完成信访件数13件，息访息诉率达98%，维护社会稳定率达98%，群众满意度达98%。</w:t>
      </w:r>
      <w:r>
        <w:rPr>
          <w:rFonts w:hint="default" w:ascii="Arial" w:hAnsi="Arial" w:eastAsia="宋体" w:cs="Arial"/>
          <w:i w:val="0"/>
          <w:iCs w:val="0"/>
          <w:caps w:val="0"/>
          <w:color w:val="222222"/>
          <w:spacing w:val="0"/>
          <w:kern w:val="0"/>
          <w:sz w:val="30"/>
          <w:szCs w:val="30"/>
          <w:lang w:val="en-US" w:eastAsia="zh-CN" w:bidi="ar"/>
        </w:rPr>
        <w:br w:type="textWrapping"/>
      </w:r>
      <w:r>
        <w:rPr>
          <w:rFonts w:hint="eastAsia" w:ascii="Arial" w:hAnsi="Arial" w:eastAsia="宋体" w:cs="Arial"/>
          <w:i w:val="0"/>
          <w:iCs w:val="0"/>
          <w:caps w:val="0"/>
          <w:color w:val="222222"/>
          <w:spacing w:val="0"/>
          <w:kern w:val="0"/>
          <w:sz w:val="30"/>
          <w:szCs w:val="30"/>
          <w:lang w:val="en-US" w:eastAsia="zh-CN" w:bidi="ar"/>
        </w:rPr>
        <w:t xml:space="preserve">    </w:t>
      </w:r>
      <w:r>
        <w:rPr>
          <w:rFonts w:hint="default" w:ascii="Arial" w:hAnsi="Arial" w:eastAsia="宋体" w:cs="Arial"/>
          <w:i w:val="0"/>
          <w:iCs w:val="0"/>
          <w:caps w:val="0"/>
          <w:color w:val="222222"/>
          <w:spacing w:val="0"/>
          <w:kern w:val="0"/>
          <w:sz w:val="30"/>
          <w:szCs w:val="30"/>
          <w:lang w:val="en-US" w:eastAsia="zh-CN" w:bidi="ar"/>
        </w:rPr>
        <w:t>3、及时全额完成党委、政府赋予的任务数量，巩固全区社区治安、民生安全率达98%，对人民武装建设持续影响程度达98%，群众满意度达100%。</w:t>
      </w:r>
      <w:r>
        <w:rPr>
          <w:rFonts w:hint="default" w:ascii="Arial" w:hAnsi="Arial" w:eastAsia="宋体" w:cs="Arial"/>
          <w:i w:val="0"/>
          <w:iCs w:val="0"/>
          <w:caps w:val="0"/>
          <w:color w:val="222222"/>
          <w:spacing w:val="0"/>
          <w:kern w:val="0"/>
          <w:sz w:val="30"/>
          <w:szCs w:val="30"/>
          <w:lang w:val="en-US" w:eastAsia="zh-CN" w:bidi="ar"/>
        </w:rPr>
        <w:br w:type="textWrapping"/>
      </w:r>
      <w:r>
        <w:rPr>
          <w:rFonts w:hint="eastAsia" w:ascii="Arial" w:hAnsi="Arial" w:eastAsia="宋体" w:cs="Arial"/>
          <w:i w:val="0"/>
          <w:iCs w:val="0"/>
          <w:caps w:val="0"/>
          <w:color w:val="222222"/>
          <w:spacing w:val="0"/>
          <w:kern w:val="0"/>
          <w:sz w:val="30"/>
          <w:szCs w:val="30"/>
          <w:lang w:val="en-US" w:eastAsia="zh-CN" w:bidi="ar"/>
        </w:rPr>
        <w:t xml:space="preserve">    </w:t>
      </w:r>
      <w:r>
        <w:rPr>
          <w:rFonts w:hint="default" w:ascii="Arial" w:hAnsi="Arial" w:eastAsia="宋体" w:cs="Arial"/>
          <w:i w:val="0"/>
          <w:iCs w:val="0"/>
          <w:caps w:val="0"/>
          <w:color w:val="222222"/>
          <w:spacing w:val="0"/>
          <w:kern w:val="0"/>
          <w:sz w:val="30"/>
          <w:szCs w:val="30"/>
          <w:lang w:val="en-US" w:eastAsia="zh-CN" w:bidi="ar"/>
        </w:rPr>
        <w:t>4、及时全额完成人大代表工作，群众满意度达98%。</w:t>
      </w:r>
      <w:r>
        <w:rPr>
          <w:rFonts w:hint="default" w:ascii="Arial" w:hAnsi="Arial" w:eastAsia="宋体" w:cs="Arial"/>
          <w:i w:val="0"/>
          <w:iCs w:val="0"/>
          <w:caps w:val="0"/>
          <w:color w:val="222222"/>
          <w:spacing w:val="0"/>
          <w:kern w:val="0"/>
          <w:sz w:val="30"/>
          <w:szCs w:val="30"/>
          <w:lang w:val="en-US" w:eastAsia="zh-CN" w:bidi="ar"/>
        </w:rPr>
        <w:br w:type="textWrapping"/>
      </w:r>
      <w:r>
        <w:rPr>
          <w:rFonts w:hint="eastAsia" w:ascii="Arial" w:hAnsi="Arial" w:eastAsia="宋体" w:cs="Arial"/>
          <w:i w:val="0"/>
          <w:iCs w:val="0"/>
          <w:caps w:val="0"/>
          <w:color w:val="222222"/>
          <w:spacing w:val="0"/>
          <w:kern w:val="0"/>
          <w:sz w:val="30"/>
          <w:szCs w:val="30"/>
          <w:lang w:val="en-US" w:eastAsia="zh-CN" w:bidi="ar"/>
        </w:rPr>
        <w:t xml:space="preserve">    </w:t>
      </w:r>
      <w:r>
        <w:rPr>
          <w:rFonts w:hint="default" w:ascii="Arial" w:hAnsi="Arial" w:eastAsia="宋体" w:cs="Arial"/>
          <w:i w:val="0"/>
          <w:iCs w:val="0"/>
          <w:caps w:val="0"/>
          <w:color w:val="222222"/>
          <w:spacing w:val="0"/>
          <w:kern w:val="0"/>
          <w:sz w:val="30"/>
          <w:szCs w:val="30"/>
          <w:lang w:val="en-US" w:eastAsia="zh-CN" w:bidi="ar"/>
        </w:rPr>
        <w:t>下一步改进措施：</w:t>
      </w:r>
      <w:r>
        <w:rPr>
          <w:rFonts w:hint="default" w:ascii="Arial" w:hAnsi="Arial" w:eastAsia="宋体" w:cs="Arial"/>
          <w:i w:val="0"/>
          <w:iCs w:val="0"/>
          <w:caps w:val="0"/>
          <w:color w:val="222222"/>
          <w:spacing w:val="0"/>
          <w:kern w:val="0"/>
          <w:sz w:val="30"/>
          <w:szCs w:val="30"/>
          <w:lang w:val="en-US" w:eastAsia="zh-CN" w:bidi="ar"/>
        </w:rPr>
        <w:br w:type="textWrapping"/>
      </w:r>
      <w:r>
        <w:rPr>
          <w:rFonts w:hint="default" w:ascii="Arial" w:hAnsi="Arial" w:eastAsia="宋体" w:cs="Arial"/>
          <w:i w:val="0"/>
          <w:iCs w:val="0"/>
          <w:caps w:val="0"/>
          <w:color w:val="222222"/>
          <w:spacing w:val="0"/>
          <w:kern w:val="0"/>
          <w:sz w:val="30"/>
          <w:szCs w:val="30"/>
          <w:lang w:val="en-US" w:eastAsia="zh-CN" w:bidi="ar"/>
        </w:rPr>
        <w:t>   </w:t>
      </w:r>
      <w:r>
        <w:rPr>
          <w:rFonts w:hint="eastAsia" w:ascii="Arial" w:hAnsi="Arial" w:eastAsia="宋体" w:cs="Arial"/>
          <w:i w:val="0"/>
          <w:iCs w:val="0"/>
          <w:caps w:val="0"/>
          <w:color w:val="222222"/>
          <w:spacing w:val="0"/>
          <w:kern w:val="0"/>
          <w:sz w:val="30"/>
          <w:szCs w:val="30"/>
          <w:lang w:val="en-US" w:eastAsia="zh-CN" w:bidi="ar"/>
        </w:rPr>
        <w:t xml:space="preserve">  </w:t>
      </w:r>
      <w:r>
        <w:rPr>
          <w:rFonts w:hint="default" w:ascii="Arial" w:hAnsi="Arial" w:eastAsia="宋体" w:cs="Arial"/>
          <w:i w:val="0"/>
          <w:iCs w:val="0"/>
          <w:caps w:val="0"/>
          <w:color w:val="222222"/>
          <w:spacing w:val="0"/>
          <w:kern w:val="0"/>
          <w:sz w:val="30"/>
          <w:szCs w:val="30"/>
          <w:lang w:val="en-US" w:eastAsia="zh-CN" w:bidi="ar"/>
        </w:rPr>
        <w:t> 结合以往年度实际情况，科学测算社会事务专项经费预算，进一步提高预算编制的准确性。</w:t>
      </w:r>
      <w:r>
        <w:rPr>
          <w:rFonts w:hint="default" w:ascii="Arial" w:hAnsi="Arial" w:eastAsia="宋体" w:cs="Arial"/>
          <w:i w:val="0"/>
          <w:iCs w:val="0"/>
          <w:caps w:val="0"/>
          <w:color w:val="222222"/>
          <w:spacing w:val="0"/>
          <w:kern w:val="0"/>
          <w:sz w:val="30"/>
          <w:szCs w:val="30"/>
          <w:lang w:val="en-US" w:eastAsia="zh-CN" w:bidi="ar"/>
        </w:rPr>
        <w:br w:type="textWrapping"/>
      </w:r>
    </w:p>
    <w:p w14:paraId="5BE1C660">
      <w:pPr>
        <w:keepNext w:val="0"/>
        <w:keepLines w:val="0"/>
        <w:widowControl/>
        <w:numPr>
          <w:ilvl w:val="0"/>
          <w:numId w:val="0"/>
        </w:numPr>
        <w:suppressLineNumbers w:val="0"/>
        <w:ind w:left="300" w:hanging="300" w:hangingChars="100"/>
        <w:jc w:val="left"/>
        <w:rPr>
          <w:rFonts w:hint="default" w:ascii="Arial" w:hAnsi="Arial" w:eastAsia="宋体" w:cs="Arial"/>
          <w:i w:val="0"/>
          <w:iCs w:val="0"/>
          <w:caps w:val="0"/>
          <w:color w:val="222222"/>
          <w:spacing w:val="0"/>
          <w:kern w:val="0"/>
          <w:sz w:val="30"/>
          <w:szCs w:val="30"/>
          <w:lang w:val="en-US" w:eastAsia="zh-CN" w:bidi="ar"/>
        </w:rPr>
      </w:pPr>
      <w:r>
        <w:rPr>
          <w:rFonts w:hint="default" w:ascii="Arial" w:hAnsi="Arial" w:eastAsia="宋体" w:cs="Arial"/>
          <w:i w:val="0"/>
          <w:iCs w:val="0"/>
          <w:caps w:val="0"/>
          <w:color w:val="222222"/>
          <w:spacing w:val="0"/>
          <w:kern w:val="0"/>
          <w:sz w:val="30"/>
          <w:szCs w:val="30"/>
          <w:lang w:val="en-US" w:eastAsia="zh-CN" w:bidi="ar"/>
        </w:rPr>
        <w:t>（三）绩效评级结果应用情况</w:t>
      </w:r>
    </w:p>
    <w:p w14:paraId="2AEE847E">
      <w:pPr>
        <w:keepNext w:val="0"/>
        <w:keepLines w:val="0"/>
        <w:widowControl/>
        <w:numPr>
          <w:ilvl w:val="0"/>
          <w:numId w:val="0"/>
        </w:numPr>
        <w:suppressLineNumbers w:val="0"/>
        <w:ind w:firstLine="600" w:firstLineChars="200"/>
        <w:jc w:val="left"/>
        <w:rPr>
          <w:rFonts w:hint="eastAsia" w:ascii="Arial" w:hAnsi="Arial" w:eastAsia="宋体" w:cs="Arial"/>
          <w:i w:val="0"/>
          <w:iCs w:val="0"/>
          <w:caps w:val="0"/>
          <w:color w:val="222222"/>
          <w:spacing w:val="0"/>
          <w:kern w:val="0"/>
          <w:sz w:val="30"/>
          <w:szCs w:val="30"/>
          <w:lang w:val="en-US" w:eastAsia="zh-CN" w:bidi="ar"/>
        </w:rPr>
      </w:pPr>
      <w:r>
        <w:rPr>
          <w:rFonts w:hint="default" w:ascii="Arial" w:hAnsi="Arial" w:eastAsia="宋体" w:cs="Arial"/>
          <w:i w:val="0"/>
          <w:iCs w:val="0"/>
          <w:caps w:val="0"/>
          <w:color w:val="222222"/>
          <w:spacing w:val="0"/>
          <w:kern w:val="0"/>
          <w:sz w:val="30"/>
          <w:szCs w:val="30"/>
          <w:lang w:val="en-US" w:eastAsia="zh-CN" w:bidi="ar"/>
        </w:rPr>
        <w:t>1.部门绩效评价结果应用情况</w:t>
      </w:r>
      <w:r>
        <w:rPr>
          <w:rFonts w:hint="eastAsia" w:ascii="Arial" w:hAnsi="Arial" w:eastAsia="宋体" w:cs="Arial"/>
          <w:i w:val="0"/>
          <w:iCs w:val="0"/>
          <w:caps w:val="0"/>
          <w:color w:val="222222"/>
          <w:spacing w:val="0"/>
          <w:kern w:val="0"/>
          <w:sz w:val="30"/>
          <w:szCs w:val="30"/>
          <w:lang w:val="en-US" w:eastAsia="zh-CN" w:bidi="ar"/>
        </w:rPr>
        <w:t xml:space="preserve"> </w:t>
      </w:r>
    </w:p>
    <w:p w14:paraId="4795E526">
      <w:pPr>
        <w:keepNext w:val="0"/>
        <w:keepLines w:val="0"/>
        <w:widowControl/>
        <w:numPr>
          <w:ilvl w:val="0"/>
          <w:numId w:val="0"/>
        </w:numPr>
        <w:suppressLineNumbers w:val="0"/>
        <w:ind w:firstLine="600" w:firstLineChars="200"/>
        <w:jc w:val="left"/>
        <w:rPr>
          <w:rFonts w:hint="default" w:ascii="Arial" w:hAnsi="Arial" w:eastAsia="宋体" w:cs="Arial"/>
          <w:i w:val="0"/>
          <w:iCs w:val="0"/>
          <w:caps w:val="0"/>
          <w:color w:val="222222"/>
          <w:spacing w:val="0"/>
          <w:kern w:val="0"/>
          <w:sz w:val="30"/>
          <w:szCs w:val="30"/>
          <w:lang w:val="en-US" w:eastAsia="zh-CN" w:bidi="ar"/>
        </w:rPr>
      </w:pPr>
      <w:r>
        <w:rPr>
          <w:rFonts w:hint="default" w:ascii="Arial" w:hAnsi="Arial" w:eastAsia="宋体" w:cs="Arial"/>
          <w:i w:val="0"/>
          <w:iCs w:val="0"/>
          <w:caps w:val="0"/>
          <w:color w:val="222222"/>
          <w:spacing w:val="0"/>
          <w:kern w:val="0"/>
          <w:sz w:val="30"/>
          <w:szCs w:val="30"/>
          <w:lang w:val="en-US" w:eastAsia="zh-CN" w:bidi="ar"/>
        </w:rPr>
        <w:t>加强绩效评价结果应用，我单位将绩效自评结果作为以后年度该项目预算编制和安排财政资金的重要参考依据；将绩效自评结果按照要求向社会公开，自觉接受社会监督。</w:t>
      </w:r>
    </w:p>
    <w:p w14:paraId="32457CB0">
      <w:pPr>
        <w:keepNext w:val="0"/>
        <w:keepLines w:val="0"/>
        <w:widowControl/>
        <w:numPr>
          <w:ilvl w:val="0"/>
          <w:numId w:val="0"/>
        </w:numPr>
        <w:suppressLineNumbers w:val="0"/>
        <w:ind w:firstLine="300" w:firstLineChars="100"/>
        <w:jc w:val="left"/>
        <w:rPr>
          <w:rFonts w:hint="default" w:ascii="Arial" w:hAnsi="Arial" w:eastAsia="宋体" w:cs="Arial"/>
          <w:i w:val="0"/>
          <w:iCs w:val="0"/>
          <w:caps w:val="0"/>
          <w:color w:val="222222"/>
          <w:spacing w:val="0"/>
          <w:kern w:val="0"/>
          <w:sz w:val="30"/>
          <w:szCs w:val="30"/>
          <w:lang w:val="en-US" w:eastAsia="zh-CN" w:bidi="ar"/>
        </w:rPr>
      </w:pPr>
      <w:r>
        <w:rPr>
          <w:rFonts w:hint="eastAsia" w:ascii="Arial" w:hAnsi="Arial" w:eastAsia="宋体" w:cs="Arial"/>
          <w:i w:val="0"/>
          <w:iCs w:val="0"/>
          <w:caps w:val="0"/>
          <w:color w:val="222222"/>
          <w:spacing w:val="0"/>
          <w:kern w:val="0"/>
          <w:sz w:val="30"/>
          <w:szCs w:val="30"/>
          <w:lang w:val="en-US" w:eastAsia="zh-CN" w:bidi="ar"/>
        </w:rPr>
        <w:t xml:space="preserve"> </w:t>
      </w:r>
      <w:r>
        <w:rPr>
          <w:rFonts w:hint="default" w:ascii="Arial" w:hAnsi="Arial" w:eastAsia="宋体" w:cs="Arial"/>
          <w:i w:val="0"/>
          <w:iCs w:val="0"/>
          <w:caps w:val="0"/>
          <w:color w:val="222222"/>
          <w:spacing w:val="0"/>
          <w:kern w:val="0"/>
          <w:sz w:val="30"/>
          <w:szCs w:val="30"/>
          <w:lang w:val="en-US" w:eastAsia="zh-CN" w:bidi="ar"/>
        </w:rPr>
        <w:t>2.部门绩效评价结果拟应用情况</w:t>
      </w:r>
      <w:r>
        <w:rPr>
          <w:rFonts w:hint="default" w:ascii="Arial" w:hAnsi="Arial" w:eastAsia="宋体" w:cs="Arial"/>
          <w:i w:val="0"/>
          <w:iCs w:val="0"/>
          <w:caps w:val="0"/>
          <w:color w:val="222222"/>
          <w:spacing w:val="0"/>
          <w:kern w:val="0"/>
          <w:sz w:val="30"/>
          <w:szCs w:val="30"/>
          <w:lang w:val="en-US" w:eastAsia="zh-CN" w:bidi="ar"/>
        </w:rPr>
        <w:br w:type="textWrapping"/>
      </w:r>
      <w:r>
        <w:rPr>
          <w:rFonts w:hint="eastAsia" w:ascii="Arial" w:hAnsi="Arial" w:eastAsia="宋体" w:cs="Arial"/>
          <w:i w:val="0"/>
          <w:iCs w:val="0"/>
          <w:caps w:val="0"/>
          <w:color w:val="222222"/>
          <w:spacing w:val="0"/>
          <w:kern w:val="0"/>
          <w:sz w:val="30"/>
          <w:szCs w:val="30"/>
          <w:lang w:val="en-US" w:eastAsia="zh-CN" w:bidi="ar"/>
        </w:rPr>
        <w:t xml:space="preserve">    </w:t>
      </w:r>
      <w:r>
        <w:rPr>
          <w:rFonts w:hint="default" w:ascii="Arial" w:hAnsi="Arial" w:eastAsia="宋体" w:cs="Arial"/>
          <w:i w:val="0"/>
          <w:iCs w:val="0"/>
          <w:caps w:val="0"/>
          <w:color w:val="222222"/>
          <w:spacing w:val="0"/>
          <w:kern w:val="0"/>
          <w:sz w:val="30"/>
          <w:szCs w:val="30"/>
          <w:lang w:val="en-US" w:eastAsia="zh-CN" w:bidi="ar"/>
        </w:rPr>
        <w:t>我单位将绩效自评结果与2021年预算编制相结合，对实施效果好的项目优先保障项目资金预算，并在编制预算的过程中，对绩效目标及指标进行梳理完善，完成绩效指标编制自评工作。同时加强内部控制管理，建立项目绩效考核机制，促进项目产出及效益提升，将绩效管理工作落到实处。</w:t>
      </w:r>
    </w:p>
    <w:p w14:paraId="74BF831E">
      <w:pPr>
        <w:keepNext w:val="0"/>
        <w:keepLines w:val="0"/>
        <w:widowControl/>
        <w:numPr>
          <w:ilvl w:val="0"/>
          <w:numId w:val="0"/>
        </w:numPr>
        <w:suppressLineNumbers w:val="0"/>
        <w:jc w:val="left"/>
        <w:rPr>
          <w:rFonts w:hint="eastAsia" w:ascii="Arial" w:hAnsi="Arial" w:eastAsia="宋体" w:cs="Arial"/>
          <w:b/>
          <w:bCs/>
          <w:i w:val="0"/>
          <w:iCs w:val="0"/>
          <w:caps w:val="0"/>
          <w:color w:val="222222"/>
          <w:spacing w:val="0"/>
          <w:kern w:val="0"/>
          <w:sz w:val="30"/>
          <w:szCs w:val="30"/>
          <w:lang w:val="en-US" w:eastAsia="zh-CN" w:bidi="ar"/>
        </w:rPr>
      </w:pPr>
    </w:p>
    <w:p w14:paraId="605A4207">
      <w:pPr>
        <w:keepNext w:val="0"/>
        <w:keepLines w:val="0"/>
        <w:widowControl/>
        <w:numPr>
          <w:ilvl w:val="0"/>
          <w:numId w:val="0"/>
        </w:numPr>
        <w:suppressLineNumbers w:val="0"/>
        <w:jc w:val="left"/>
        <w:rPr>
          <w:rFonts w:hint="eastAsia" w:ascii="Arial" w:hAnsi="Arial" w:eastAsia="宋体" w:cs="Arial"/>
          <w:b/>
          <w:bCs/>
          <w:i w:val="0"/>
          <w:iCs w:val="0"/>
          <w:caps w:val="0"/>
          <w:color w:val="222222"/>
          <w:spacing w:val="0"/>
          <w:kern w:val="0"/>
          <w:sz w:val="30"/>
          <w:szCs w:val="30"/>
          <w:lang w:val="en-US" w:eastAsia="zh-CN" w:bidi="ar"/>
        </w:rPr>
      </w:pPr>
    </w:p>
    <w:p w14:paraId="23EE52F7">
      <w:pPr>
        <w:keepNext w:val="0"/>
        <w:keepLines w:val="0"/>
        <w:widowControl/>
        <w:numPr>
          <w:ilvl w:val="0"/>
          <w:numId w:val="0"/>
        </w:numPr>
        <w:suppressLineNumbers w:val="0"/>
        <w:jc w:val="left"/>
        <w:rPr>
          <w:rFonts w:hint="eastAsia" w:ascii="Arial" w:hAnsi="Arial" w:eastAsia="宋体" w:cs="Arial"/>
          <w:b/>
          <w:bCs/>
          <w:i w:val="0"/>
          <w:iCs w:val="0"/>
          <w:caps w:val="0"/>
          <w:color w:val="222222"/>
          <w:spacing w:val="0"/>
          <w:kern w:val="0"/>
          <w:sz w:val="30"/>
          <w:szCs w:val="30"/>
          <w:lang w:val="en-US" w:eastAsia="zh-CN" w:bidi="ar"/>
        </w:rPr>
      </w:pPr>
    </w:p>
    <w:p w14:paraId="477362BC">
      <w:pPr>
        <w:keepNext w:val="0"/>
        <w:keepLines w:val="0"/>
        <w:widowControl/>
        <w:numPr>
          <w:ilvl w:val="0"/>
          <w:numId w:val="0"/>
        </w:numPr>
        <w:suppressLineNumbers w:val="0"/>
        <w:jc w:val="left"/>
        <w:rPr>
          <w:rFonts w:hint="eastAsia" w:ascii="Arial" w:hAnsi="Arial" w:eastAsia="宋体" w:cs="Arial"/>
          <w:b/>
          <w:bCs/>
          <w:i w:val="0"/>
          <w:iCs w:val="0"/>
          <w:caps w:val="0"/>
          <w:color w:val="222222"/>
          <w:spacing w:val="0"/>
          <w:kern w:val="0"/>
          <w:sz w:val="30"/>
          <w:szCs w:val="30"/>
          <w:lang w:val="en-US" w:eastAsia="zh-CN" w:bidi="ar"/>
        </w:rPr>
      </w:pPr>
    </w:p>
    <w:p w14:paraId="34C98011">
      <w:pPr>
        <w:keepNext w:val="0"/>
        <w:keepLines w:val="0"/>
        <w:widowControl/>
        <w:numPr>
          <w:ilvl w:val="0"/>
          <w:numId w:val="0"/>
        </w:numPr>
        <w:suppressLineNumbers w:val="0"/>
        <w:jc w:val="left"/>
        <w:rPr>
          <w:rFonts w:hint="eastAsia" w:ascii="Arial" w:hAnsi="Arial" w:eastAsia="宋体" w:cs="Arial"/>
          <w:b/>
          <w:bCs/>
          <w:i w:val="0"/>
          <w:iCs w:val="0"/>
          <w:caps w:val="0"/>
          <w:color w:val="222222"/>
          <w:spacing w:val="0"/>
          <w:kern w:val="0"/>
          <w:sz w:val="30"/>
          <w:szCs w:val="30"/>
          <w:lang w:val="en-US" w:eastAsia="zh-CN" w:bidi="ar"/>
        </w:rPr>
      </w:pPr>
    </w:p>
    <w:p w14:paraId="3920F271">
      <w:pPr>
        <w:keepNext w:val="0"/>
        <w:keepLines w:val="0"/>
        <w:widowControl/>
        <w:numPr>
          <w:ilvl w:val="0"/>
          <w:numId w:val="0"/>
        </w:numPr>
        <w:suppressLineNumbers w:val="0"/>
        <w:jc w:val="left"/>
        <w:rPr>
          <w:rFonts w:hint="eastAsia" w:ascii="Arial" w:hAnsi="Arial" w:eastAsia="宋体" w:cs="Arial"/>
          <w:b/>
          <w:bCs/>
          <w:i w:val="0"/>
          <w:iCs w:val="0"/>
          <w:caps w:val="0"/>
          <w:color w:val="222222"/>
          <w:spacing w:val="0"/>
          <w:kern w:val="0"/>
          <w:sz w:val="30"/>
          <w:szCs w:val="30"/>
          <w:lang w:val="en-US" w:eastAsia="zh-CN" w:bidi="ar"/>
        </w:rPr>
      </w:pPr>
    </w:p>
    <w:p w14:paraId="24DBE6B5">
      <w:pPr>
        <w:keepNext w:val="0"/>
        <w:keepLines w:val="0"/>
        <w:widowControl/>
        <w:numPr>
          <w:ilvl w:val="0"/>
          <w:numId w:val="0"/>
        </w:numPr>
        <w:suppressLineNumbers w:val="0"/>
        <w:jc w:val="left"/>
        <w:rPr>
          <w:rFonts w:hint="eastAsia" w:ascii="Arial" w:hAnsi="Arial" w:eastAsia="宋体" w:cs="Arial"/>
          <w:b/>
          <w:bCs/>
          <w:i w:val="0"/>
          <w:iCs w:val="0"/>
          <w:caps w:val="0"/>
          <w:color w:val="222222"/>
          <w:spacing w:val="0"/>
          <w:kern w:val="0"/>
          <w:sz w:val="30"/>
          <w:szCs w:val="30"/>
          <w:lang w:val="en-US" w:eastAsia="zh-CN" w:bidi="ar"/>
        </w:rPr>
      </w:pPr>
    </w:p>
    <w:p w14:paraId="4E2FE498">
      <w:pPr>
        <w:spacing w:before="340" w:line="223" w:lineRule="auto"/>
        <w:rPr>
          <w:rFonts w:ascii="黑体" w:hAnsi="黑体" w:eastAsia="黑体" w:cs="黑体"/>
          <w:b/>
          <w:bCs/>
          <w:spacing w:val="1"/>
          <w:sz w:val="35"/>
          <w:szCs w:val="35"/>
        </w:rPr>
      </w:pPr>
    </w:p>
    <w:p w14:paraId="4992DA56">
      <w:pPr>
        <w:spacing w:before="340" w:line="223" w:lineRule="auto"/>
        <w:rPr>
          <w:rFonts w:ascii="黑体" w:hAnsi="黑体" w:eastAsia="黑体" w:cs="黑体"/>
          <w:b/>
          <w:bCs/>
          <w:spacing w:val="1"/>
          <w:sz w:val="35"/>
          <w:szCs w:val="35"/>
        </w:rPr>
      </w:pPr>
    </w:p>
    <w:p w14:paraId="2D2B19EC">
      <w:pPr>
        <w:spacing w:before="340" w:line="223" w:lineRule="auto"/>
        <w:rPr>
          <w:rFonts w:ascii="黑体" w:hAnsi="黑体" w:eastAsia="黑体" w:cs="黑体"/>
          <w:b/>
          <w:bCs/>
          <w:spacing w:val="1"/>
          <w:sz w:val="35"/>
          <w:szCs w:val="35"/>
        </w:rPr>
      </w:pPr>
    </w:p>
    <w:p w14:paraId="5156E360">
      <w:pPr>
        <w:spacing w:before="340" w:line="223" w:lineRule="auto"/>
        <w:rPr>
          <w:rFonts w:ascii="黑体" w:hAnsi="黑体" w:eastAsia="黑体" w:cs="黑体"/>
          <w:b/>
          <w:bCs/>
          <w:spacing w:val="1"/>
          <w:sz w:val="35"/>
          <w:szCs w:val="35"/>
        </w:rPr>
      </w:pPr>
    </w:p>
    <w:p w14:paraId="29E451E3">
      <w:pPr>
        <w:keepNext w:val="0"/>
        <w:keepLines w:val="0"/>
        <w:widowControl/>
        <w:numPr>
          <w:ilvl w:val="0"/>
          <w:numId w:val="0"/>
        </w:numPr>
        <w:suppressLineNumbers w:val="0"/>
        <w:jc w:val="left"/>
        <w:rPr>
          <w:rFonts w:ascii="黑体" w:hAnsi="黑体" w:eastAsia="黑体" w:cs="黑体"/>
          <w:b/>
          <w:bCs/>
          <w:spacing w:val="1"/>
          <w:sz w:val="35"/>
          <w:szCs w:val="35"/>
        </w:rPr>
      </w:pPr>
      <w:r>
        <w:rPr>
          <w:rFonts w:hint="eastAsia" w:ascii="Arial" w:hAnsi="Arial" w:eastAsia="宋体" w:cs="Arial"/>
          <w:b/>
          <w:bCs/>
          <w:i w:val="0"/>
          <w:iCs w:val="0"/>
          <w:caps w:val="0"/>
          <w:color w:val="222222"/>
          <w:spacing w:val="0"/>
          <w:kern w:val="0"/>
          <w:sz w:val="30"/>
          <w:szCs w:val="30"/>
          <w:lang w:val="en-US" w:eastAsia="zh-CN" w:bidi="ar"/>
        </w:rPr>
        <w:t>公开项目绩效自评表</w:t>
      </w:r>
    </w:p>
    <w:p w14:paraId="2A1EBB85">
      <w:pPr>
        <w:spacing w:before="340" w:line="223" w:lineRule="auto"/>
        <w:rPr>
          <w:rFonts w:ascii="黑体" w:hAnsi="黑体" w:eastAsia="黑体" w:cs="黑体"/>
          <w:b/>
          <w:bCs/>
          <w:spacing w:val="1"/>
          <w:sz w:val="35"/>
          <w:szCs w:val="35"/>
        </w:rPr>
      </w:pPr>
      <w:r>
        <w:rPr>
          <w:rFonts w:ascii="黑体" w:hAnsi="黑体" w:eastAsia="黑体" w:cs="黑体"/>
          <w:b/>
          <w:bCs/>
          <w:spacing w:val="1"/>
          <w:sz w:val="35"/>
          <w:szCs w:val="35"/>
        </w:rPr>
        <w:t>附表2</w:t>
      </w:r>
    </w:p>
    <w:p w14:paraId="1A84A673">
      <w:pPr>
        <w:spacing w:before="105" w:line="219" w:lineRule="auto"/>
        <w:rPr>
          <w:rFonts w:hint="eastAsia" w:ascii="宋体" w:hAnsi="宋体" w:eastAsia="宋体" w:cs="宋体"/>
          <w:b/>
          <w:bCs/>
          <w:sz w:val="43"/>
          <w:szCs w:val="43"/>
          <w:lang w:val="en-US" w:eastAsia="zh-CN"/>
        </w:rPr>
      </w:pPr>
      <w:r>
        <w:rPr>
          <w:rFonts w:hint="eastAsia" w:ascii="宋体" w:hAnsi="宋体" w:eastAsia="宋体" w:cs="宋体"/>
          <w:b/>
          <w:bCs/>
          <w:sz w:val="43"/>
          <w:szCs w:val="43"/>
          <w:lang w:val="en-US" w:eastAsia="zh-CN"/>
        </w:rPr>
        <w:t>2021</w:t>
      </w:r>
      <w:r>
        <w:rPr>
          <w:rFonts w:ascii="宋体" w:hAnsi="宋体" w:eastAsia="宋体" w:cs="宋体"/>
          <w:b/>
          <w:bCs/>
          <w:spacing w:val="17"/>
          <w:sz w:val="43"/>
          <w:szCs w:val="43"/>
        </w:rPr>
        <w:t>年度</w:t>
      </w:r>
      <w:r>
        <w:rPr>
          <w:rFonts w:hint="eastAsia" w:ascii="宋体" w:hAnsi="宋体" w:eastAsia="宋体" w:cs="宋体"/>
          <w:b/>
          <w:bCs/>
          <w:sz w:val="43"/>
          <w:szCs w:val="43"/>
          <w:lang w:val="en-US" w:eastAsia="zh-CN"/>
        </w:rPr>
        <w:t>长乐山工业园区社会事务专项经费</w:t>
      </w:r>
    </w:p>
    <w:p w14:paraId="188C3186">
      <w:pPr>
        <w:spacing w:before="105" w:line="219" w:lineRule="auto"/>
        <w:jc w:val="center"/>
        <w:rPr>
          <w:rFonts w:ascii="宋体" w:hAnsi="宋体" w:eastAsia="宋体" w:cs="宋体"/>
          <w:sz w:val="43"/>
          <w:szCs w:val="43"/>
        </w:rPr>
      </w:pPr>
      <w:r>
        <w:rPr>
          <w:rFonts w:ascii="宋体" w:hAnsi="宋体" w:eastAsia="宋体" w:cs="宋体"/>
          <w:b/>
          <w:bCs/>
          <w:spacing w:val="17"/>
          <w:sz w:val="43"/>
          <w:szCs w:val="43"/>
        </w:rPr>
        <w:t>项目自评表</w:t>
      </w:r>
    </w:p>
    <w:p w14:paraId="4AC2A336">
      <w:pPr>
        <w:spacing w:before="63" w:line="226" w:lineRule="auto"/>
        <w:ind w:left="239"/>
        <w:rPr>
          <w:rFonts w:ascii="楷体" w:hAnsi="楷体" w:eastAsia="楷体" w:cs="楷体"/>
          <w:sz w:val="30"/>
          <w:szCs w:val="30"/>
        </w:rPr>
      </w:pPr>
      <w:r>
        <w:rPr>
          <w:rFonts w:ascii="楷体" w:hAnsi="楷体" w:eastAsia="楷体" w:cs="楷体"/>
          <w:b/>
          <w:bCs/>
          <w:spacing w:val="13"/>
          <w:position w:val="1"/>
          <w:sz w:val="30"/>
          <w:szCs w:val="30"/>
        </w:rPr>
        <w:t>项目单位(盖章):</w:t>
      </w:r>
      <w:r>
        <w:rPr>
          <w:rFonts w:ascii="楷体" w:hAnsi="楷体" w:eastAsia="楷体" w:cs="楷体"/>
          <w:spacing w:val="3"/>
          <w:position w:val="1"/>
          <w:sz w:val="30"/>
          <w:szCs w:val="30"/>
        </w:rPr>
        <w:t xml:space="preserve">               </w:t>
      </w:r>
      <w:r>
        <w:rPr>
          <w:rFonts w:hint="eastAsia" w:ascii="楷体" w:hAnsi="楷体" w:eastAsia="楷体" w:cs="楷体"/>
          <w:spacing w:val="3"/>
          <w:position w:val="1"/>
          <w:sz w:val="30"/>
          <w:szCs w:val="30"/>
          <w:lang w:val="en-US" w:eastAsia="zh-CN"/>
        </w:rPr>
        <w:t xml:space="preserve">  </w:t>
      </w:r>
      <w:r>
        <w:rPr>
          <w:rFonts w:ascii="楷体" w:hAnsi="楷体" w:eastAsia="楷体" w:cs="楷体"/>
          <w:b/>
          <w:bCs/>
          <w:spacing w:val="13"/>
          <w:position w:val="-1"/>
          <w:sz w:val="30"/>
          <w:szCs w:val="30"/>
        </w:rPr>
        <w:t>主要领导签字：</w:t>
      </w:r>
    </w:p>
    <w:p w14:paraId="57D06DC0">
      <w:pPr>
        <w:spacing w:before="63" w:line="226" w:lineRule="auto"/>
        <w:ind w:left="239"/>
        <w:rPr>
          <w:rFonts w:ascii="楷体" w:hAnsi="楷体" w:eastAsia="楷体" w:cs="楷体"/>
          <w:b/>
          <w:bCs/>
          <w:spacing w:val="13"/>
          <w:position w:val="1"/>
          <w:sz w:val="30"/>
          <w:szCs w:val="30"/>
        </w:rPr>
      </w:pPr>
      <w:r>
        <w:rPr>
          <w:rFonts w:ascii="楷体" w:hAnsi="楷体" w:eastAsia="楷体" w:cs="楷体"/>
          <w:b/>
          <w:bCs/>
          <w:spacing w:val="13"/>
          <w:position w:val="1"/>
          <w:sz w:val="30"/>
          <w:szCs w:val="30"/>
        </w:rPr>
        <w:t>填报日期：</w:t>
      </w:r>
    </w:p>
    <w:p w14:paraId="59CB2482">
      <w:pPr>
        <w:spacing w:line="36" w:lineRule="auto"/>
        <w:rPr>
          <w:rFonts w:ascii="Arial"/>
          <w:sz w:val="2"/>
        </w:rPr>
      </w:pPr>
    </w:p>
    <w:tbl>
      <w:tblPr>
        <w:tblStyle w:val="9"/>
        <w:tblW w:w="892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14"/>
        <w:gridCol w:w="689"/>
        <w:gridCol w:w="1119"/>
        <w:gridCol w:w="1444"/>
        <w:gridCol w:w="1203"/>
        <w:gridCol w:w="962"/>
        <w:gridCol w:w="496"/>
        <w:gridCol w:w="1318"/>
        <w:gridCol w:w="884"/>
      </w:tblGrid>
      <w:tr w14:paraId="30C3F7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4" w:hRule="atLeast"/>
        </w:trPr>
        <w:tc>
          <w:tcPr>
            <w:tcW w:w="1503" w:type="dxa"/>
            <w:gridSpan w:val="2"/>
            <w:noWrap w:val="0"/>
            <w:vAlign w:val="top"/>
          </w:tcPr>
          <w:p w14:paraId="4B7E2A8A">
            <w:pPr>
              <w:spacing w:before="154" w:line="220" w:lineRule="auto"/>
              <w:ind w:left="304"/>
              <w:rPr>
                <w:rFonts w:ascii="宋体" w:hAnsi="宋体" w:eastAsia="宋体" w:cs="宋体"/>
                <w:sz w:val="22"/>
                <w:szCs w:val="22"/>
              </w:rPr>
            </w:pPr>
            <w:r>
              <w:rPr>
                <w:rFonts w:ascii="宋体" w:hAnsi="宋体" w:eastAsia="宋体" w:cs="宋体"/>
                <w:spacing w:val="2"/>
                <w:sz w:val="22"/>
                <w:szCs w:val="22"/>
              </w:rPr>
              <w:t>项目名称</w:t>
            </w:r>
          </w:p>
        </w:tc>
        <w:tc>
          <w:tcPr>
            <w:tcW w:w="7426" w:type="dxa"/>
            <w:gridSpan w:val="7"/>
            <w:noWrap w:val="0"/>
            <w:vAlign w:val="center"/>
          </w:tcPr>
          <w:p w14:paraId="3777E8B9">
            <w:pPr>
              <w:jc w:val="both"/>
              <w:rPr>
                <w:rFonts w:hint="default" w:ascii="Arial" w:eastAsia="宋体"/>
                <w:sz w:val="21"/>
                <w:lang w:val="en-US" w:eastAsia="zh-CN"/>
              </w:rPr>
            </w:pPr>
            <w:r>
              <w:rPr>
                <w:rFonts w:hint="eastAsia" w:ascii="Arial"/>
                <w:sz w:val="21"/>
                <w:lang w:val="en-US" w:eastAsia="zh-CN"/>
              </w:rPr>
              <w:t>社会事务专项经费</w:t>
            </w:r>
          </w:p>
        </w:tc>
      </w:tr>
      <w:tr w14:paraId="29EAD5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1503" w:type="dxa"/>
            <w:gridSpan w:val="2"/>
            <w:noWrap w:val="0"/>
            <w:vAlign w:val="top"/>
          </w:tcPr>
          <w:p w14:paraId="1229DCEF">
            <w:pPr>
              <w:spacing w:before="150" w:line="219" w:lineRule="auto"/>
              <w:ind w:left="304"/>
              <w:rPr>
                <w:rFonts w:ascii="宋体" w:hAnsi="宋体" w:eastAsia="宋体" w:cs="宋体"/>
                <w:sz w:val="22"/>
                <w:szCs w:val="22"/>
              </w:rPr>
            </w:pPr>
            <w:r>
              <w:rPr>
                <w:rFonts w:ascii="宋体" w:hAnsi="宋体" w:eastAsia="宋体" w:cs="宋体"/>
                <w:spacing w:val="6"/>
                <w:sz w:val="22"/>
                <w:szCs w:val="22"/>
              </w:rPr>
              <w:t>主管部门</w:t>
            </w:r>
          </w:p>
        </w:tc>
        <w:tc>
          <w:tcPr>
            <w:tcW w:w="2563" w:type="dxa"/>
            <w:gridSpan w:val="2"/>
            <w:noWrap w:val="0"/>
            <w:vAlign w:val="center"/>
          </w:tcPr>
          <w:p w14:paraId="08FAFD26">
            <w:pPr>
              <w:jc w:val="both"/>
              <w:rPr>
                <w:rFonts w:hint="default" w:ascii="Arial" w:eastAsia="宋体"/>
                <w:sz w:val="21"/>
                <w:lang w:val="en-US" w:eastAsia="zh-CN"/>
              </w:rPr>
            </w:pPr>
          </w:p>
        </w:tc>
        <w:tc>
          <w:tcPr>
            <w:tcW w:w="2165" w:type="dxa"/>
            <w:gridSpan w:val="2"/>
            <w:noWrap w:val="0"/>
            <w:vAlign w:val="top"/>
          </w:tcPr>
          <w:p w14:paraId="57DBB9B7">
            <w:pPr>
              <w:spacing w:before="150" w:line="220" w:lineRule="auto"/>
              <w:ind w:left="595"/>
              <w:rPr>
                <w:rFonts w:ascii="宋体" w:hAnsi="宋体" w:eastAsia="宋体" w:cs="宋体"/>
                <w:sz w:val="22"/>
                <w:szCs w:val="22"/>
              </w:rPr>
            </w:pPr>
            <w:r>
              <w:rPr>
                <w:rFonts w:ascii="宋体" w:hAnsi="宋体" w:eastAsia="宋体" w:cs="宋体"/>
                <w:spacing w:val="1"/>
                <w:sz w:val="22"/>
                <w:szCs w:val="22"/>
              </w:rPr>
              <w:t>项目实施单位</w:t>
            </w:r>
          </w:p>
        </w:tc>
        <w:tc>
          <w:tcPr>
            <w:tcW w:w="2698" w:type="dxa"/>
            <w:gridSpan w:val="3"/>
            <w:noWrap w:val="0"/>
            <w:vAlign w:val="top"/>
          </w:tcPr>
          <w:p w14:paraId="71573644">
            <w:pPr>
              <w:rPr>
                <w:rFonts w:hint="default" w:ascii="Arial" w:eastAsia="宋体"/>
                <w:sz w:val="21"/>
                <w:lang w:val="en-US" w:eastAsia="zh-CN"/>
              </w:rPr>
            </w:pPr>
            <w:r>
              <w:rPr>
                <w:rFonts w:hint="eastAsia" w:ascii="Arial"/>
                <w:sz w:val="21"/>
                <w:lang w:val="en-US" w:eastAsia="zh-CN"/>
              </w:rPr>
              <w:t>湖北下陆长乐山工业园区管理委员会</w:t>
            </w:r>
          </w:p>
        </w:tc>
      </w:tr>
      <w:tr w14:paraId="3BD066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1503" w:type="dxa"/>
            <w:gridSpan w:val="2"/>
            <w:noWrap w:val="0"/>
            <w:vAlign w:val="top"/>
          </w:tcPr>
          <w:p w14:paraId="0507BBFC">
            <w:pPr>
              <w:spacing w:before="150" w:line="219" w:lineRule="auto"/>
              <w:ind w:left="304"/>
              <w:rPr>
                <w:rFonts w:ascii="宋体" w:hAnsi="宋体" w:eastAsia="宋体" w:cs="宋体"/>
                <w:sz w:val="22"/>
                <w:szCs w:val="22"/>
              </w:rPr>
            </w:pPr>
            <w:r>
              <w:rPr>
                <w:rFonts w:ascii="宋体" w:hAnsi="宋体" w:eastAsia="宋体" w:cs="宋体"/>
                <w:spacing w:val="4"/>
                <w:sz w:val="22"/>
                <w:szCs w:val="22"/>
              </w:rPr>
              <w:t>项目类别</w:t>
            </w:r>
          </w:p>
        </w:tc>
        <w:tc>
          <w:tcPr>
            <w:tcW w:w="7426" w:type="dxa"/>
            <w:gridSpan w:val="7"/>
            <w:noWrap w:val="0"/>
            <w:vAlign w:val="top"/>
          </w:tcPr>
          <w:p w14:paraId="4DBE0C51">
            <w:pPr>
              <w:spacing w:before="150" w:line="219" w:lineRule="auto"/>
              <w:ind w:left="304"/>
              <w:rPr>
                <w:rFonts w:ascii="宋体" w:hAnsi="宋体" w:eastAsia="宋体" w:cs="宋体"/>
                <w:spacing w:val="4"/>
                <w:sz w:val="22"/>
                <w:szCs w:val="22"/>
              </w:rPr>
            </w:pPr>
            <w:r>
              <w:rPr>
                <w:rFonts w:ascii="宋体" w:hAnsi="宋体" w:eastAsia="宋体" w:cs="宋体"/>
                <w:spacing w:val="4"/>
                <w:sz w:val="22"/>
                <w:szCs w:val="22"/>
              </w:rPr>
              <w:t>1、部门预算项目</w:t>
            </w:r>
            <w:r>
              <w:rPr>
                <w:rFonts w:hint="eastAsia" w:ascii="宋体" w:hAnsi="宋体" w:eastAsia="宋体" w:cs="宋体"/>
                <w:spacing w:val="4"/>
                <w:sz w:val="22"/>
                <w:szCs w:val="22"/>
                <w:lang w:eastAsia="zh-CN"/>
              </w:rPr>
              <w:t>√</w:t>
            </w:r>
            <w:r>
              <w:rPr>
                <w:rFonts w:ascii="宋体" w:hAnsi="宋体" w:eastAsia="宋体" w:cs="宋体"/>
                <w:spacing w:val="4"/>
                <w:sz w:val="22"/>
                <w:szCs w:val="22"/>
              </w:rPr>
              <w:t xml:space="preserve">      2、</w:t>
            </w:r>
            <w:r>
              <w:rPr>
                <w:rFonts w:hint="eastAsia" w:ascii="宋体" w:hAnsi="宋体" w:eastAsia="宋体" w:cs="宋体"/>
                <w:spacing w:val="4"/>
                <w:sz w:val="22"/>
                <w:szCs w:val="22"/>
                <w:lang w:val="en-US" w:eastAsia="zh-CN"/>
              </w:rPr>
              <w:t>上级</w:t>
            </w:r>
            <w:r>
              <w:rPr>
                <w:rFonts w:ascii="宋体" w:hAnsi="宋体" w:eastAsia="宋体" w:cs="宋体"/>
                <w:spacing w:val="4"/>
                <w:sz w:val="22"/>
                <w:szCs w:val="22"/>
              </w:rPr>
              <w:t>专项</w:t>
            </w:r>
            <w:r>
              <w:rPr>
                <w:rFonts w:hint="eastAsia" w:ascii="宋体" w:hAnsi="宋体" w:eastAsia="宋体" w:cs="宋体"/>
                <w:spacing w:val="4"/>
                <w:sz w:val="22"/>
                <w:szCs w:val="22"/>
                <w:lang w:eastAsia="zh-CN"/>
              </w:rPr>
              <w:t>□</w:t>
            </w:r>
          </w:p>
        </w:tc>
      </w:tr>
      <w:tr w14:paraId="0D7F2B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1503" w:type="dxa"/>
            <w:gridSpan w:val="2"/>
            <w:noWrap w:val="0"/>
            <w:vAlign w:val="top"/>
          </w:tcPr>
          <w:p w14:paraId="60ABEE47">
            <w:pPr>
              <w:spacing w:before="150" w:line="220" w:lineRule="auto"/>
              <w:ind w:left="304"/>
              <w:rPr>
                <w:rFonts w:ascii="宋体" w:hAnsi="宋体" w:eastAsia="宋体" w:cs="宋体"/>
                <w:sz w:val="22"/>
                <w:szCs w:val="22"/>
              </w:rPr>
            </w:pPr>
            <w:r>
              <w:rPr>
                <w:rFonts w:ascii="宋体" w:hAnsi="宋体" w:eastAsia="宋体" w:cs="宋体"/>
                <w:spacing w:val="2"/>
                <w:sz w:val="22"/>
                <w:szCs w:val="22"/>
              </w:rPr>
              <w:t>项目属性</w:t>
            </w:r>
          </w:p>
        </w:tc>
        <w:tc>
          <w:tcPr>
            <w:tcW w:w="7426" w:type="dxa"/>
            <w:gridSpan w:val="7"/>
            <w:noWrap w:val="0"/>
            <w:vAlign w:val="top"/>
          </w:tcPr>
          <w:p w14:paraId="207948FF">
            <w:pPr>
              <w:spacing w:before="150" w:line="219" w:lineRule="auto"/>
              <w:ind w:left="304"/>
              <w:rPr>
                <w:rFonts w:hint="eastAsia" w:ascii="宋体" w:hAnsi="宋体" w:eastAsia="宋体" w:cs="宋体"/>
                <w:spacing w:val="4"/>
                <w:sz w:val="22"/>
                <w:szCs w:val="22"/>
                <w:lang w:eastAsia="zh-CN"/>
              </w:rPr>
            </w:pPr>
            <w:r>
              <w:rPr>
                <w:rFonts w:ascii="宋体" w:hAnsi="宋体" w:eastAsia="宋体" w:cs="宋体"/>
                <w:spacing w:val="4"/>
                <w:sz w:val="22"/>
                <w:szCs w:val="22"/>
              </w:rPr>
              <w:t>1、持续性项目</w:t>
            </w:r>
            <w:r>
              <w:rPr>
                <w:rFonts w:hint="eastAsia" w:ascii="宋体" w:hAnsi="宋体" w:eastAsia="宋体" w:cs="宋体"/>
                <w:spacing w:val="4"/>
                <w:sz w:val="22"/>
                <w:szCs w:val="22"/>
                <w:lang w:eastAsia="zh-CN"/>
              </w:rPr>
              <w:t>√</w:t>
            </w:r>
            <w:r>
              <w:rPr>
                <w:rFonts w:ascii="宋体" w:hAnsi="宋体" w:eastAsia="宋体" w:cs="宋体"/>
                <w:spacing w:val="4"/>
                <w:sz w:val="22"/>
                <w:szCs w:val="22"/>
              </w:rPr>
              <w:t xml:space="preserve">        2、新增性项目</w:t>
            </w:r>
            <w:r>
              <w:rPr>
                <w:rFonts w:hint="eastAsia" w:ascii="宋体" w:hAnsi="宋体" w:eastAsia="宋体" w:cs="宋体"/>
                <w:spacing w:val="4"/>
                <w:sz w:val="22"/>
                <w:szCs w:val="22"/>
                <w:lang w:eastAsia="zh-CN"/>
              </w:rPr>
              <w:t>□</w:t>
            </w:r>
          </w:p>
        </w:tc>
      </w:tr>
      <w:tr w14:paraId="280A5F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1503" w:type="dxa"/>
            <w:gridSpan w:val="2"/>
            <w:noWrap w:val="0"/>
            <w:vAlign w:val="top"/>
          </w:tcPr>
          <w:p w14:paraId="0DB61227">
            <w:pPr>
              <w:spacing w:before="151" w:line="219" w:lineRule="auto"/>
              <w:ind w:left="304"/>
              <w:rPr>
                <w:rFonts w:ascii="宋体" w:hAnsi="宋体" w:eastAsia="宋体" w:cs="宋体"/>
                <w:sz w:val="22"/>
                <w:szCs w:val="22"/>
              </w:rPr>
            </w:pPr>
            <w:r>
              <w:rPr>
                <w:rFonts w:ascii="宋体" w:hAnsi="宋体" w:eastAsia="宋体" w:cs="宋体"/>
                <w:spacing w:val="3"/>
                <w:sz w:val="22"/>
                <w:szCs w:val="22"/>
              </w:rPr>
              <w:t>项目类型</w:t>
            </w:r>
          </w:p>
        </w:tc>
        <w:tc>
          <w:tcPr>
            <w:tcW w:w="7426" w:type="dxa"/>
            <w:gridSpan w:val="7"/>
            <w:noWrap w:val="0"/>
            <w:vAlign w:val="top"/>
          </w:tcPr>
          <w:p w14:paraId="2F7CE933">
            <w:pPr>
              <w:spacing w:before="150" w:line="219" w:lineRule="auto"/>
              <w:ind w:left="304"/>
              <w:rPr>
                <w:rFonts w:ascii="宋体" w:hAnsi="宋体" w:eastAsia="宋体" w:cs="宋体"/>
                <w:spacing w:val="4"/>
                <w:sz w:val="22"/>
                <w:szCs w:val="22"/>
              </w:rPr>
            </w:pPr>
            <w:r>
              <w:rPr>
                <w:rFonts w:ascii="宋体" w:hAnsi="宋体" w:eastAsia="宋体" w:cs="宋体"/>
                <w:spacing w:val="4"/>
                <w:sz w:val="22"/>
                <w:szCs w:val="22"/>
              </w:rPr>
              <w:t>1、常年性项目</w:t>
            </w:r>
            <w:r>
              <w:rPr>
                <w:rFonts w:hint="eastAsia" w:ascii="宋体" w:hAnsi="宋体" w:eastAsia="宋体" w:cs="宋体"/>
                <w:spacing w:val="4"/>
                <w:sz w:val="22"/>
                <w:szCs w:val="22"/>
                <w:lang w:eastAsia="zh-CN"/>
              </w:rPr>
              <w:t>√</w:t>
            </w:r>
            <w:r>
              <w:rPr>
                <w:rFonts w:ascii="宋体" w:hAnsi="宋体" w:eastAsia="宋体" w:cs="宋体"/>
                <w:spacing w:val="4"/>
                <w:sz w:val="22"/>
                <w:szCs w:val="22"/>
              </w:rPr>
              <w:t xml:space="preserve">        2、延续性项目</w:t>
            </w:r>
            <w:r>
              <w:rPr>
                <w:rFonts w:hint="eastAsia" w:ascii="宋体" w:hAnsi="宋体" w:eastAsia="宋体" w:cs="宋体"/>
                <w:spacing w:val="4"/>
                <w:sz w:val="22"/>
                <w:szCs w:val="22"/>
                <w:lang w:eastAsia="zh-CN"/>
              </w:rPr>
              <w:t>□</w:t>
            </w:r>
            <w:r>
              <w:rPr>
                <w:rFonts w:ascii="宋体" w:hAnsi="宋体" w:eastAsia="宋体" w:cs="宋体"/>
                <w:spacing w:val="4"/>
                <w:sz w:val="22"/>
                <w:szCs w:val="22"/>
              </w:rPr>
              <w:t xml:space="preserve">       3、 一次性项目</w:t>
            </w:r>
            <w:r>
              <w:rPr>
                <w:rFonts w:hint="eastAsia" w:ascii="宋体" w:hAnsi="宋体" w:eastAsia="宋体" w:cs="宋体"/>
                <w:spacing w:val="4"/>
                <w:sz w:val="22"/>
                <w:szCs w:val="22"/>
                <w:lang w:eastAsia="zh-CN"/>
              </w:rPr>
              <w:t>□</w:t>
            </w:r>
          </w:p>
        </w:tc>
      </w:tr>
      <w:tr w14:paraId="02F8E2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trPr>
        <w:tc>
          <w:tcPr>
            <w:tcW w:w="1503" w:type="dxa"/>
            <w:gridSpan w:val="2"/>
            <w:vMerge w:val="restart"/>
            <w:tcBorders>
              <w:bottom w:val="nil"/>
            </w:tcBorders>
            <w:noWrap w:val="0"/>
            <w:vAlign w:val="top"/>
          </w:tcPr>
          <w:p w14:paraId="13A6CBBE">
            <w:pPr>
              <w:spacing w:before="201" w:line="219" w:lineRule="auto"/>
              <w:ind w:left="85"/>
              <w:rPr>
                <w:rFonts w:ascii="宋体" w:hAnsi="宋体" w:eastAsia="宋体" w:cs="宋体"/>
                <w:sz w:val="22"/>
                <w:szCs w:val="22"/>
              </w:rPr>
            </w:pPr>
            <w:r>
              <w:rPr>
                <w:rFonts w:ascii="宋体" w:hAnsi="宋体" w:eastAsia="宋体" w:cs="宋体"/>
                <w:spacing w:val="-2"/>
                <w:sz w:val="22"/>
                <w:szCs w:val="22"/>
              </w:rPr>
              <w:t>预算执行情况</w:t>
            </w:r>
          </w:p>
          <w:p w14:paraId="44D46359">
            <w:pPr>
              <w:spacing w:before="9" w:line="220" w:lineRule="auto"/>
              <w:ind w:left="415"/>
              <w:rPr>
                <w:rFonts w:ascii="宋体" w:hAnsi="宋体" w:eastAsia="宋体" w:cs="宋体"/>
                <w:sz w:val="22"/>
                <w:szCs w:val="22"/>
              </w:rPr>
            </w:pPr>
            <w:r>
              <w:rPr>
                <w:rFonts w:ascii="宋体" w:hAnsi="宋体" w:eastAsia="宋体" w:cs="宋体"/>
                <w:spacing w:val="12"/>
                <w:sz w:val="22"/>
                <w:szCs w:val="22"/>
              </w:rPr>
              <w:t>(万元)</w:t>
            </w:r>
          </w:p>
          <w:p w14:paraId="1A32FBB1">
            <w:pPr>
              <w:spacing w:before="17" w:line="220" w:lineRule="auto"/>
              <w:ind w:left="415"/>
              <w:rPr>
                <w:rFonts w:ascii="宋体" w:hAnsi="宋体" w:eastAsia="宋体" w:cs="宋体"/>
                <w:sz w:val="22"/>
                <w:szCs w:val="22"/>
              </w:rPr>
            </w:pPr>
            <w:r>
              <w:rPr>
                <w:rFonts w:ascii="宋体" w:hAnsi="宋体" w:eastAsia="宋体" w:cs="宋体"/>
                <w:spacing w:val="9"/>
                <w:sz w:val="22"/>
                <w:szCs w:val="22"/>
              </w:rPr>
              <w:t>(20分)</w:t>
            </w:r>
          </w:p>
        </w:tc>
        <w:tc>
          <w:tcPr>
            <w:tcW w:w="1119" w:type="dxa"/>
            <w:noWrap w:val="0"/>
            <w:vAlign w:val="top"/>
          </w:tcPr>
          <w:p w14:paraId="24B7E089">
            <w:pPr>
              <w:rPr>
                <w:rFonts w:ascii="Arial"/>
                <w:sz w:val="21"/>
              </w:rPr>
            </w:pPr>
          </w:p>
        </w:tc>
        <w:tc>
          <w:tcPr>
            <w:tcW w:w="1444" w:type="dxa"/>
            <w:noWrap w:val="0"/>
            <w:vAlign w:val="top"/>
          </w:tcPr>
          <w:p w14:paraId="4A610B3A">
            <w:pPr>
              <w:spacing w:before="171" w:line="219" w:lineRule="auto"/>
              <w:ind w:left="163"/>
              <w:rPr>
                <w:rFonts w:ascii="宋体" w:hAnsi="宋体" w:eastAsia="宋体" w:cs="宋体"/>
                <w:sz w:val="22"/>
                <w:szCs w:val="22"/>
              </w:rPr>
            </w:pPr>
            <w:r>
              <w:rPr>
                <w:rFonts w:ascii="宋体" w:hAnsi="宋体" w:eastAsia="宋体" w:cs="宋体"/>
                <w:spacing w:val="8"/>
                <w:sz w:val="22"/>
                <w:szCs w:val="22"/>
              </w:rPr>
              <w:t>预算数(A)</w:t>
            </w:r>
          </w:p>
        </w:tc>
        <w:tc>
          <w:tcPr>
            <w:tcW w:w="1203" w:type="dxa"/>
            <w:noWrap w:val="0"/>
            <w:vAlign w:val="top"/>
          </w:tcPr>
          <w:p w14:paraId="5977C5ED">
            <w:pPr>
              <w:spacing w:before="171" w:line="219" w:lineRule="auto"/>
              <w:ind w:left="154"/>
              <w:rPr>
                <w:rFonts w:ascii="宋体" w:hAnsi="宋体" w:eastAsia="宋体" w:cs="宋体"/>
                <w:sz w:val="22"/>
                <w:szCs w:val="22"/>
              </w:rPr>
            </w:pPr>
            <w:r>
              <w:rPr>
                <w:rFonts w:ascii="宋体" w:hAnsi="宋体" w:eastAsia="宋体" w:cs="宋体"/>
                <w:spacing w:val="8"/>
                <w:sz w:val="22"/>
                <w:szCs w:val="22"/>
              </w:rPr>
              <w:t>执行数(B)</w:t>
            </w:r>
          </w:p>
        </w:tc>
        <w:tc>
          <w:tcPr>
            <w:tcW w:w="1458" w:type="dxa"/>
            <w:gridSpan w:val="2"/>
            <w:noWrap w:val="0"/>
            <w:vAlign w:val="top"/>
          </w:tcPr>
          <w:p w14:paraId="354B58F2">
            <w:pPr>
              <w:spacing w:before="171" w:line="219" w:lineRule="auto"/>
              <w:ind w:left="56"/>
              <w:rPr>
                <w:rFonts w:ascii="宋体" w:hAnsi="宋体" w:eastAsia="宋体" w:cs="宋体"/>
                <w:sz w:val="22"/>
                <w:szCs w:val="22"/>
              </w:rPr>
            </w:pPr>
            <w:r>
              <w:rPr>
                <w:rFonts w:ascii="宋体" w:hAnsi="宋体" w:eastAsia="宋体" w:cs="宋体"/>
                <w:spacing w:val="6"/>
                <w:sz w:val="22"/>
                <w:szCs w:val="22"/>
              </w:rPr>
              <w:t>执行率(B/A)</w:t>
            </w:r>
          </w:p>
        </w:tc>
        <w:tc>
          <w:tcPr>
            <w:tcW w:w="2202" w:type="dxa"/>
            <w:gridSpan w:val="2"/>
            <w:noWrap w:val="0"/>
            <w:vAlign w:val="top"/>
          </w:tcPr>
          <w:p w14:paraId="6EB39025">
            <w:pPr>
              <w:spacing w:before="61" w:line="218" w:lineRule="auto"/>
              <w:ind w:left="878"/>
              <w:rPr>
                <w:rFonts w:ascii="宋体" w:hAnsi="宋体" w:eastAsia="宋体" w:cs="宋体"/>
                <w:sz w:val="22"/>
                <w:szCs w:val="22"/>
              </w:rPr>
            </w:pPr>
            <w:r>
              <w:rPr>
                <w:rFonts w:ascii="宋体" w:hAnsi="宋体" w:eastAsia="宋体" w:cs="宋体"/>
                <w:spacing w:val="-3"/>
                <w:sz w:val="22"/>
                <w:szCs w:val="22"/>
              </w:rPr>
              <w:t>得分</w:t>
            </w:r>
          </w:p>
          <w:p w14:paraId="58165BB4">
            <w:pPr>
              <w:spacing w:line="192" w:lineRule="auto"/>
              <w:ind w:left="378"/>
              <w:rPr>
                <w:rFonts w:ascii="宋体" w:hAnsi="宋体" w:eastAsia="宋体" w:cs="宋体"/>
                <w:sz w:val="22"/>
                <w:szCs w:val="22"/>
              </w:rPr>
            </w:pPr>
            <w:r>
              <w:rPr>
                <w:rFonts w:ascii="宋体" w:hAnsi="宋体" w:eastAsia="宋体" w:cs="宋体"/>
                <w:spacing w:val="5"/>
                <w:sz w:val="22"/>
                <w:szCs w:val="22"/>
              </w:rPr>
              <w:t>(20分*执行率)</w:t>
            </w:r>
          </w:p>
        </w:tc>
      </w:tr>
      <w:tr w14:paraId="07FFBE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503" w:type="dxa"/>
            <w:gridSpan w:val="2"/>
            <w:vMerge w:val="continue"/>
            <w:tcBorders>
              <w:top w:val="nil"/>
            </w:tcBorders>
            <w:noWrap w:val="0"/>
            <w:vAlign w:val="top"/>
          </w:tcPr>
          <w:p w14:paraId="38B5D042">
            <w:pPr>
              <w:rPr>
                <w:rFonts w:ascii="Arial"/>
                <w:sz w:val="21"/>
              </w:rPr>
            </w:pPr>
          </w:p>
        </w:tc>
        <w:tc>
          <w:tcPr>
            <w:tcW w:w="1119" w:type="dxa"/>
            <w:noWrap w:val="0"/>
            <w:vAlign w:val="top"/>
          </w:tcPr>
          <w:p w14:paraId="4FED1C7D">
            <w:pPr>
              <w:spacing w:before="59" w:line="215" w:lineRule="auto"/>
              <w:ind w:left="112" w:right="108"/>
              <w:rPr>
                <w:rFonts w:ascii="宋体" w:hAnsi="宋体" w:eastAsia="宋体" w:cs="宋体"/>
                <w:sz w:val="21"/>
                <w:szCs w:val="21"/>
              </w:rPr>
            </w:pPr>
            <w:r>
              <w:t>年度财政 资金总额</w:t>
            </w:r>
          </w:p>
        </w:tc>
        <w:tc>
          <w:tcPr>
            <w:tcW w:w="1444" w:type="dxa"/>
            <w:noWrap w:val="0"/>
            <w:vAlign w:val="center"/>
          </w:tcPr>
          <w:p w14:paraId="6FA0C919">
            <w:pPr>
              <w:jc w:val="center"/>
              <w:rPr>
                <w:rFonts w:hint="default" w:ascii="Arial" w:eastAsia="宋体"/>
                <w:sz w:val="21"/>
                <w:lang w:val="en-US" w:eastAsia="zh-CN"/>
              </w:rPr>
            </w:pPr>
            <w:r>
              <w:rPr>
                <w:rFonts w:hint="eastAsia" w:ascii="Arial"/>
                <w:sz w:val="21"/>
                <w:lang w:val="en-US" w:eastAsia="zh-CN"/>
              </w:rPr>
              <w:t>52</w:t>
            </w:r>
          </w:p>
        </w:tc>
        <w:tc>
          <w:tcPr>
            <w:tcW w:w="1203" w:type="dxa"/>
            <w:noWrap w:val="0"/>
            <w:vAlign w:val="center"/>
          </w:tcPr>
          <w:p w14:paraId="6A642694">
            <w:pPr>
              <w:jc w:val="center"/>
              <w:rPr>
                <w:rFonts w:hint="default" w:ascii="Arial" w:eastAsia="宋体"/>
                <w:sz w:val="21"/>
                <w:lang w:val="en-US" w:eastAsia="zh-CN"/>
              </w:rPr>
            </w:pPr>
            <w:r>
              <w:rPr>
                <w:rFonts w:hint="eastAsia" w:ascii="Arial"/>
                <w:sz w:val="21"/>
                <w:lang w:val="en-US" w:eastAsia="zh-CN"/>
              </w:rPr>
              <w:t>52</w:t>
            </w:r>
          </w:p>
        </w:tc>
        <w:tc>
          <w:tcPr>
            <w:tcW w:w="1458" w:type="dxa"/>
            <w:gridSpan w:val="2"/>
            <w:noWrap w:val="0"/>
            <w:vAlign w:val="center"/>
          </w:tcPr>
          <w:p w14:paraId="759ED637">
            <w:pPr>
              <w:jc w:val="center"/>
              <w:rPr>
                <w:rFonts w:hint="default" w:ascii="Arial" w:eastAsia="宋体"/>
                <w:sz w:val="21"/>
                <w:lang w:val="en-US" w:eastAsia="zh-CN"/>
              </w:rPr>
            </w:pPr>
            <w:r>
              <w:rPr>
                <w:rFonts w:hint="eastAsia" w:ascii="Arial"/>
                <w:sz w:val="21"/>
                <w:lang w:val="en-US" w:eastAsia="zh-CN"/>
              </w:rPr>
              <w:t>100%</w:t>
            </w:r>
          </w:p>
        </w:tc>
        <w:tc>
          <w:tcPr>
            <w:tcW w:w="2202" w:type="dxa"/>
            <w:gridSpan w:val="2"/>
            <w:noWrap w:val="0"/>
            <w:vAlign w:val="center"/>
          </w:tcPr>
          <w:p w14:paraId="63A366B7">
            <w:pPr>
              <w:jc w:val="center"/>
              <w:rPr>
                <w:rFonts w:hint="default" w:ascii="Arial" w:eastAsia="宋体"/>
                <w:sz w:val="21"/>
                <w:lang w:val="en-US" w:eastAsia="zh-CN"/>
              </w:rPr>
            </w:pPr>
            <w:r>
              <w:rPr>
                <w:rFonts w:hint="eastAsia" w:ascii="Arial"/>
                <w:sz w:val="21"/>
                <w:lang w:val="en-US" w:eastAsia="zh-CN"/>
              </w:rPr>
              <w:t>20</w:t>
            </w:r>
          </w:p>
        </w:tc>
      </w:tr>
      <w:tr w14:paraId="795A0D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814" w:type="dxa"/>
            <w:vMerge w:val="restart"/>
            <w:tcBorders>
              <w:bottom w:val="nil"/>
            </w:tcBorders>
            <w:noWrap w:val="0"/>
            <w:vAlign w:val="top"/>
          </w:tcPr>
          <w:p w14:paraId="52BFAD0D">
            <w:pPr>
              <w:spacing w:line="269" w:lineRule="auto"/>
              <w:rPr>
                <w:rFonts w:ascii="Arial"/>
                <w:sz w:val="21"/>
              </w:rPr>
            </w:pPr>
          </w:p>
          <w:p w14:paraId="0B0BA163">
            <w:pPr>
              <w:spacing w:line="269" w:lineRule="auto"/>
              <w:rPr>
                <w:rFonts w:ascii="Arial"/>
                <w:sz w:val="21"/>
              </w:rPr>
            </w:pPr>
          </w:p>
          <w:p w14:paraId="53D012E9">
            <w:pPr>
              <w:spacing w:line="269" w:lineRule="auto"/>
              <w:rPr>
                <w:rFonts w:ascii="Arial"/>
                <w:sz w:val="21"/>
              </w:rPr>
            </w:pPr>
          </w:p>
          <w:p w14:paraId="7A393E47">
            <w:pPr>
              <w:spacing w:line="270" w:lineRule="auto"/>
              <w:rPr>
                <w:rFonts w:ascii="Arial"/>
                <w:sz w:val="21"/>
              </w:rPr>
            </w:pPr>
          </w:p>
          <w:p w14:paraId="2C2CEB0B">
            <w:pPr>
              <w:spacing w:line="270" w:lineRule="auto"/>
              <w:rPr>
                <w:rFonts w:ascii="Arial"/>
                <w:sz w:val="21"/>
              </w:rPr>
            </w:pPr>
          </w:p>
          <w:p w14:paraId="3710680F">
            <w:pPr>
              <w:spacing w:line="270" w:lineRule="auto"/>
              <w:rPr>
                <w:rFonts w:ascii="Arial"/>
                <w:sz w:val="21"/>
              </w:rPr>
            </w:pPr>
          </w:p>
          <w:p w14:paraId="4BE36F76">
            <w:pPr>
              <w:spacing w:line="270" w:lineRule="auto"/>
              <w:rPr>
                <w:rFonts w:ascii="Arial"/>
                <w:sz w:val="21"/>
              </w:rPr>
            </w:pPr>
          </w:p>
          <w:p w14:paraId="06E369E2">
            <w:pPr>
              <w:jc w:val="center"/>
              <w:rPr>
                <w:b/>
                <w:bCs/>
              </w:rPr>
            </w:pPr>
          </w:p>
          <w:p w14:paraId="72E75C49">
            <w:pPr>
              <w:jc w:val="center"/>
              <w:rPr>
                <w:b/>
                <w:bCs/>
              </w:rPr>
            </w:pPr>
            <w:r>
              <w:rPr>
                <w:b/>
                <w:bCs/>
              </w:rPr>
              <w:t>年</w:t>
            </w:r>
          </w:p>
          <w:p w14:paraId="40BE39D4">
            <w:pPr>
              <w:jc w:val="center"/>
              <w:rPr>
                <w:b/>
                <w:bCs/>
              </w:rPr>
            </w:pPr>
            <w:r>
              <w:rPr>
                <w:b/>
                <w:bCs/>
              </w:rPr>
              <w:t>度</w:t>
            </w:r>
          </w:p>
          <w:p w14:paraId="39AEB208">
            <w:pPr>
              <w:jc w:val="center"/>
              <w:rPr>
                <w:b/>
                <w:bCs/>
              </w:rPr>
            </w:pPr>
            <w:r>
              <w:rPr>
                <w:b/>
                <w:bCs/>
              </w:rPr>
              <w:t>绩</w:t>
            </w:r>
          </w:p>
          <w:p w14:paraId="750F9CDC">
            <w:pPr>
              <w:jc w:val="center"/>
              <w:rPr>
                <w:b/>
                <w:bCs/>
              </w:rPr>
            </w:pPr>
            <w:r>
              <w:rPr>
                <w:b/>
                <w:bCs/>
              </w:rPr>
              <w:t>效</w:t>
            </w:r>
          </w:p>
          <w:p w14:paraId="5DAF3433">
            <w:pPr>
              <w:jc w:val="center"/>
              <w:rPr>
                <w:b/>
                <w:bCs/>
              </w:rPr>
            </w:pPr>
            <w:r>
              <w:rPr>
                <w:b/>
                <w:bCs/>
              </w:rPr>
              <w:t>目</w:t>
            </w:r>
          </w:p>
          <w:p w14:paraId="3EE3C242">
            <w:pPr>
              <w:jc w:val="center"/>
              <w:rPr>
                <w:b/>
                <w:bCs/>
              </w:rPr>
            </w:pPr>
            <w:r>
              <w:rPr>
                <w:b/>
                <w:bCs/>
              </w:rPr>
              <w:t>标</w:t>
            </w:r>
          </w:p>
          <w:p w14:paraId="3121D525">
            <w:pPr>
              <w:jc w:val="center"/>
              <w:rPr>
                <w:b/>
                <w:bCs/>
              </w:rPr>
            </w:pPr>
            <w:r>
              <w:rPr>
                <w:b/>
                <w:bCs/>
              </w:rPr>
              <w:t>1</w:t>
            </w:r>
          </w:p>
          <w:p w14:paraId="0EC8D5CB">
            <w:pPr>
              <w:jc w:val="center"/>
              <w:rPr>
                <w:rFonts w:ascii="宋体" w:hAnsi="宋体" w:eastAsia="宋体" w:cs="宋体"/>
                <w:sz w:val="22"/>
                <w:szCs w:val="22"/>
              </w:rPr>
            </w:pPr>
            <w:r>
              <w:rPr>
                <w:b/>
                <w:bCs/>
              </w:rPr>
              <w:t>(</w:t>
            </w:r>
            <w:r>
              <w:rPr>
                <w:rFonts w:hint="eastAsia"/>
                <w:b/>
                <w:bCs/>
                <w:lang w:val="en-US" w:eastAsia="zh-CN"/>
              </w:rPr>
              <w:t>80</w:t>
            </w:r>
            <w:r>
              <w:rPr>
                <w:b/>
                <w:bCs/>
              </w:rPr>
              <w:t>分 )</w:t>
            </w:r>
          </w:p>
        </w:tc>
        <w:tc>
          <w:tcPr>
            <w:tcW w:w="689" w:type="dxa"/>
            <w:noWrap w:val="0"/>
            <w:vAlign w:val="top"/>
          </w:tcPr>
          <w:p w14:paraId="70443926">
            <w:pPr>
              <w:spacing w:before="54" w:line="213" w:lineRule="auto"/>
              <w:ind w:left="110" w:right="114"/>
              <w:jc w:val="both"/>
              <w:rPr>
                <w:rFonts w:ascii="宋体" w:hAnsi="宋体" w:eastAsia="宋体" w:cs="宋体"/>
                <w:b/>
                <w:bCs/>
                <w:sz w:val="21"/>
                <w:szCs w:val="21"/>
              </w:rPr>
            </w:pPr>
            <w:r>
              <w:rPr>
                <w:rFonts w:hint="eastAsia"/>
                <w:b/>
                <w:bCs/>
                <w:lang w:val="en-US" w:eastAsia="zh-CN"/>
              </w:rPr>
              <w:t>一</w:t>
            </w:r>
            <w:r>
              <w:rPr>
                <w:b/>
                <w:bCs/>
              </w:rPr>
              <w:t>级 指标</w:t>
            </w:r>
          </w:p>
        </w:tc>
        <w:tc>
          <w:tcPr>
            <w:tcW w:w="1119" w:type="dxa"/>
            <w:noWrap w:val="0"/>
            <w:vAlign w:val="top"/>
          </w:tcPr>
          <w:p w14:paraId="473F3026">
            <w:pPr>
              <w:spacing w:before="162" w:line="220" w:lineRule="auto"/>
              <w:ind w:left="112"/>
              <w:jc w:val="both"/>
              <w:rPr>
                <w:rFonts w:ascii="宋体" w:hAnsi="宋体" w:eastAsia="宋体" w:cs="宋体"/>
                <w:b/>
                <w:bCs/>
                <w:sz w:val="22"/>
                <w:szCs w:val="22"/>
              </w:rPr>
            </w:pPr>
            <w:r>
              <w:rPr>
                <w:rFonts w:ascii="宋体" w:hAnsi="宋体" w:eastAsia="宋体" w:cs="宋体"/>
                <w:b/>
                <w:bCs/>
                <w:spacing w:val="2"/>
                <w:sz w:val="22"/>
                <w:szCs w:val="22"/>
              </w:rPr>
              <w:t>二级指标</w:t>
            </w:r>
          </w:p>
        </w:tc>
        <w:tc>
          <w:tcPr>
            <w:tcW w:w="2647" w:type="dxa"/>
            <w:gridSpan w:val="2"/>
            <w:noWrap w:val="0"/>
            <w:vAlign w:val="top"/>
          </w:tcPr>
          <w:p w14:paraId="67A3AF17">
            <w:pPr>
              <w:spacing w:before="162" w:line="220" w:lineRule="auto"/>
              <w:ind w:left="873"/>
              <w:jc w:val="both"/>
              <w:rPr>
                <w:rFonts w:ascii="宋体" w:hAnsi="宋体" w:eastAsia="宋体" w:cs="宋体"/>
                <w:b/>
                <w:bCs/>
                <w:sz w:val="22"/>
                <w:szCs w:val="22"/>
              </w:rPr>
            </w:pPr>
            <w:r>
              <w:rPr>
                <w:rFonts w:ascii="宋体" w:hAnsi="宋体" w:eastAsia="宋体" w:cs="宋体"/>
                <w:b/>
                <w:bCs/>
                <w:spacing w:val="-2"/>
                <w:sz w:val="22"/>
                <w:szCs w:val="22"/>
              </w:rPr>
              <w:t>三级指标</w:t>
            </w:r>
          </w:p>
        </w:tc>
        <w:tc>
          <w:tcPr>
            <w:tcW w:w="1458" w:type="dxa"/>
            <w:gridSpan w:val="2"/>
            <w:noWrap w:val="0"/>
            <w:vAlign w:val="top"/>
          </w:tcPr>
          <w:p w14:paraId="629AB812">
            <w:pPr>
              <w:spacing w:before="52" w:line="219" w:lineRule="auto"/>
              <w:ind w:left="166"/>
              <w:jc w:val="both"/>
              <w:rPr>
                <w:rFonts w:ascii="宋体" w:hAnsi="宋体" w:eastAsia="宋体" w:cs="宋体"/>
                <w:sz w:val="22"/>
                <w:szCs w:val="22"/>
              </w:rPr>
            </w:pPr>
            <w:r>
              <w:rPr>
                <w:rFonts w:ascii="宋体" w:hAnsi="宋体" w:eastAsia="宋体" w:cs="宋体"/>
                <w:spacing w:val="-2"/>
                <w:sz w:val="22"/>
                <w:szCs w:val="22"/>
              </w:rPr>
              <w:t>年初目标值</w:t>
            </w:r>
          </w:p>
          <w:p w14:paraId="488BAE9E">
            <w:pPr>
              <w:spacing w:before="22" w:line="188" w:lineRule="auto"/>
              <w:ind w:left="526"/>
              <w:jc w:val="both"/>
              <w:rPr>
                <w:rFonts w:ascii="宋体" w:hAnsi="宋体" w:eastAsia="宋体" w:cs="宋体"/>
                <w:sz w:val="20"/>
                <w:szCs w:val="20"/>
              </w:rPr>
            </w:pPr>
            <w:r>
              <w:rPr>
                <w:rFonts w:ascii="宋体" w:hAnsi="宋体" w:eastAsia="宋体" w:cs="宋体"/>
                <w:spacing w:val="-4"/>
                <w:sz w:val="20"/>
                <w:szCs w:val="20"/>
              </w:rPr>
              <w:t>(A)</w:t>
            </w:r>
          </w:p>
        </w:tc>
        <w:tc>
          <w:tcPr>
            <w:tcW w:w="1318" w:type="dxa"/>
            <w:noWrap w:val="0"/>
            <w:vAlign w:val="top"/>
          </w:tcPr>
          <w:p w14:paraId="0EE2F9C6">
            <w:pPr>
              <w:spacing w:before="52" w:line="219" w:lineRule="auto"/>
              <w:ind w:left="107"/>
              <w:jc w:val="both"/>
              <w:rPr>
                <w:rFonts w:ascii="宋体" w:hAnsi="宋体" w:eastAsia="宋体" w:cs="宋体"/>
                <w:sz w:val="22"/>
                <w:szCs w:val="22"/>
              </w:rPr>
            </w:pPr>
            <w:r>
              <w:rPr>
                <w:rFonts w:ascii="宋体" w:hAnsi="宋体" w:eastAsia="宋体" w:cs="宋体"/>
                <w:spacing w:val="1"/>
                <w:sz w:val="22"/>
                <w:szCs w:val="22"/>
              </w:rPr>
              <w:t>实际完成值</w:t>
            </w:r>
          </w:p>
          <w:p w14:paraId="00135344">
            <w:pPr>
              <w:spacing w:before="11" w:line="188" w:lineRule="auto"/>
              <w:ind w:left="488"/>
              <w:jc w:val="both"/>
              <w:rPr>
                <w:rFonts w:ascii="宋体" w:hAnsi="宋体" w:eastAsia="宋体" w:cs="宋体"/>
                <w:sz w:val="21"/>
                <w:szCs w:val="21"/>
              </w:rPr>
            </w:pPr>
            <w:r>
              <w:rPr>
                <w:rFonts w:ascii="宋体" w:hAnsi="宋体" w:eastAsia="宋体" w:cs="宋体"/>
                <w:spacing w:val="-8"/>
                <w:sz w:val="21"/>
                <w:szCs w:val="21"/>
              </w:rPr>
              <w:t>(B)</w:t>
            </w:r>
          </w:p>
        </w:tc>
        <w:tc>
          <w:tcPr>
            <w:tcW w:w="884" w:type="dxa"/>
            <w:noWrap w:val="0"/>
            <w:vAlign w:val="top"/>
          </w:tcPr>
          <w:p w14:paraId="5759673D">
            <w:pPr>
              <w:spacing w:before="162" w:line="219" w:lineRule="auto"/>
              <w:ind w:left="220"/>
              <w:jc w:val="both"/>
              <w:rPr>
                <w:rFonts w:ascii="宋体" w:hAnsi="宋体" w:eastAsia="宋体" w:cs="宋体"/>
                <w:sz w:val="22"/>
                <w:szCs w:val="22"/>
              </w:rPr>
            </w:pPr>
            <w:r>
              <w:rPr>
                <w:rFonts w:ascii="宋体" w:hAnsi="宋体" w:eastAsia="宋体" w:cs="宋体"/>
                <w:spacing w:val="-3"/>
                <w:sz w:val="22"/>
                <w:szCs w:val="22"/>
              </w:rPr>
              <w:t>得分</w:t>
            </w:r>
          </w:p>
        </w:tc>
      </w:tr>
      <w:tr w14:paraId="313E11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trPr>
        <w:tc>
          <w:tcPr>
            <w:tcW w:w="814" w:type="dxa"/>
            <w:vMerge w:val="continue"/>
            <w:tcBorders>
              <w:top w:val="nil"/>
              <w:bottom w:val="nil"/>
            </w:tcBorders>
            <w:noWrap w:val="0"/>
            <w:vAlign w:val="top"/>
          </w:tcPr>
          <w:p w14:paraId="2FC25C8D">
            <w:pPr>
              <w:rPr>
                <w:rFonts w:ascii="Arial"/>
                <w:sz w:val="21"/>
              </w:rPr>
            </w:pPr>
          </w:p>
        </w:tc>
        <w:tc>
          <w:tcPr>
            <w:tcW w:w="689" w:type="dxa"/>
            <w:vMerge w:val="restart"/>
            <w:noWrap w:val="0"/>
            <w:vAlign w:val="top"/>
          </w:tcPr>
          <w:p w14:paraId="6EA847C7">
            <w:pPr>
              <w:rPr>
                <w:b/>
                <w:bCs/>
              </w:rPr>
            </w:pPr>
          </w:p>
          <w:p w14:paraId="4CE76F98">
            <w:pPr>
              <w:rPr>
                <w:b/>
                <w:bCs/>
              </w:rPr>
            </w:pPr>
          </w:p>
          <w:p w14:paraId="11C80F97">
            <w:pPr>
              <w:rPr>
                <w:b/>
                <w:bCs/>
              </w:rPr>
            </w:pPr>
          </w:p>
          <w:p w14:paraId="405B735E">
            <w:pPr>
              <w:jc w:val="center"/>
              <w:rPr>
                <w:b/>
                <w:bCs/>
              </w:rPr>
            </w:pPr>
            <w:r>
              <w:rPr>
                <w:b/>
                <w:bCs/>
              </w:rPr>
              <w:t>产出</w:t>
            </w:r>
          </w:p>
          <w:p w14:paraId="2BB51CF8">
            <w:pPr>
              <w:jc w:val="center"/>
              <w:rPr>
                <w:rFonts w:hint="eastAsia" w:eastAsia="宋体"/>
                <w:b/>
                <w:bCs/>
                <w:lang w:val="en-US" w:eastAsia="zh-CN"/>
              </w:rPr>
            </w:pPr>
            <w:r>
              <w:rPr>
                <w:rFonts w:hint="eastAsia"/>
                <w:b/>
                <w:bCs/>
                <w:lang w:val="en-US" w:eastAsia="zh-CN"/>
              </w:rPr>
              <w:t>指标</w:t>
            </w:r>
          </w:p>
        </w:tc>
        <w:tc>
          <w:tcPr>
            <w:tcW w:w="1119" w:type="dxa"/>
            <w:noWrap w:val="0"/>
            <w:vAlign w:val="center"/>
          </w:tcPr>
          <w:p w14:paraId="3D5A03D0">
            <w:pPr>
              <w:spacing w:before="220" w:line="173" w:lineRule="exact"/>
              <w:jc w:val="center"/>
              <w:rPr>
                <w:rFonts w:ascii="宋体" w:hAnsi="宋体" w:eastAsia="宋体" w:cs="宋体"/>
                <w:sz w:val="11"/>
                <w:szCs w:val="11"/>
              </w:rPr>
            </w:pPr>
            <w:r>
              <w:rPr>
                <w:rFonts w:ascii="宋体" w:hAnsi="宋体" w:eastAsia="宋体" w:cs="宋体"/>
                <w:spacing w:val="-2"/>
                <w:sz w:val="21"/>
                <w:szCs w:val="21"/>
              </w:rPr>
              <w:t>数量指标</w:t>
            </w:r>
          </w:p>
        </w:tc>
        <w:tc>
          <w:tcPr>
            <w:tcW w:w="2647" w:type="dxa"/>
            <w:gridSpan w:val="2"/>
            <w:noWrap w:val="0"/>
            <w:vAlign w:val="center"/>
          </w:tcPr>
          <w:p w14:paraId="0719737C">
            <w:pPr>
              <w:jc w:val="both"/>
              <w:rPr>
                <w:rFonts w:hint="default" w:ascii="Arial" w:hAnsi="Times New Roman" w:eastAsia="宋体" w:cs="Times New Roman"/>
                <w:sz w:val="21"/>
                <w:lang w:val="en-US" w:eastAsia="zh-CN"/>
              </w:rPr>
            </w:pPr>
            <w:r>
              <w:rPr>
                <w:rFonts w:hint="eastAsia" w:ascii="Arial" w:hAnsi="Times New Roman" w:eastAsia="宋体" w:cs="Times New Roman"/>
                <w:sz w:val="21"/>
                <w:lang w:val="en-US" w:eastAsia="zh-CN"/>
              </w:rPr>
              <w:t>完成上级各部门下派任务数量</w:t>
            </w:r>
          </w:p>
        </w:tc>
        <w:tc>
          <w:tcPr>
            <w:tcW w:w="1458" w:type="dxa"/>
            <w:gridSpan w:val="2"/>
            <w:noWrap w:val="0"/>
            <w:vAlign w:val="center"/>
          </w:tcPr>
          <w:p w14:paraId="32CC1548">
            <w:pPr>
              <w:jc w:val="center"/>
              <w:rPr>
                <w:rFonts w:hint="eastAsia" w:ascii="Arial" w:hAnsi="Times New Roman" w:eastAsia="宋体" w:cs="Times New Roman"/>
                <w:sz w:val="21"/>
                <w:lang w:val="en-US" w:eastAsia="zh-CN"/>
              </w:rPr>
            </w:pPr>
            <w:r>
              <w:rPr>
                <w:rFonts w:hint="eastAsia" w:ascii="Arial" w:hAnsi="Times New Roman" w:eastAsia="宋体" w:cs="Times New Roman"/>
                <w:sz w:val="21"/>
                <w:lang w:val="en-US" w:eastAsia="zh-CN"/>
              </w:rPr>
              <w:t>全额完成</w:t>
            </w:r>
          </w:p>
        </w:tc>
        <w:tc>
          <w:tcPr>
            <w:tcW w:w="1318" w:type="dxa"/>
            <w:noWrap w:val="0"/>
            <w:vAlign w:val="center"/>
          </w:tcPr>
          <w:p w14:paraId="29E6A1FA">
            <w:pPr>
              <w:jc w:val="center"/>
              <w:rPr>
                <w:rFonts w:hint="eastAsia" w:ascii="Arial" w:hAnsi="Times New Roman" w:eastAsia="宋体" w:cs="Times New Roman"/>
                <w:kern w:val="2"/>
                <w:sz w:val="21"/>
                <w:lang w:val="en-US" w:eastAsia="zh-CN" w:bidi="ar-SA"/>
              </w:rPr>
            </w:pPr>
            <w:r>
              <w:rPr>
                <w:rFonts w:hint="eastAsia" w:ascii="Arial" w:hAnsi="Times New Roman" w:eastAsia="宋体" w:cs="Times New Roman"/>
                <w:sz w:val="21"/>
                <w:lang w:val="en-US" w:eastAsia="zh-CN"/>
              </w:rPr>
              <w:t>全额完成</w:t>
            </w:r>
          </w:p>
        </w:tc>
        <w:tc>
          <w:tcPr>
            <w:tcW w:w="884" w:type="dxa"/>
            <w:noWrap w:val="0"/>
            <w:vAlign w:val="center"/>
          </w:tcPr>
          <w:p w14:paraId="62A14194">
            <w:pPr>
              <w:jc w:val="center"/>
              <w:rPr>
                <w:rFonts w:hint="default" w:ascii="Arial" w:eastAsia="宋体"/>
                <w:sz w:val="21"/>
                <w:lang w:val="en-US" w:eastAsia="zh-CN"/>
              </w:rPr>
            </w:pPr>
            <w:r>
              <w:rPr>
                <w:rFonts w:hint="eastAsia" w:ascii="Arial"/>
                <w:sz w:val="21"/>
                <w:lang w:val="en-US" w:eastAsia="zh-CN"/>
              </w:rPr>
              <w:t>15</w:t>
            </w:r>
          </w:p>
        </w:tc>
      </w:tr>
      <w:tr w14:paraId="4ECAE9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1" w:hRule="atLeast"/>
        </w:trPr>
        <w:tc>
          <w:tcPr>
            <w:tcW w:w="814" w:type="dxa"/>
            <w:vMerge w:val="continue"/>
            <w:tcBorders>
              <w:top w:val="nil"/>
              <w:bottom w:val="nil"/>
            </w:tcBorders>
            <w:noWrap w:val="0"/>
            <w:vAlign w:val="top"/>
          </w:tcPr>
          <w:p w14:paraId="1FD278F5">
            <w:pPr>
              <w:rPr>
                <w:rFonts w:ascii="Arial"/>
                <w:sz w:val="21"/>
              </w:rPr>
            </w:pPr>
          </w:p>
        </w:tc>
        <w:tc>
          <w:tcPr>
            <w:tcW w:w="689" w:type="dxa"/>
            <w:vMerge w:val="continue"/>
            <w:noWrap w:val="0"/>
            <w:vAlign w:val="top"/>
          </w:tcPr>
          <w:p w14:paraId="434F747F">
            <w:pPr>
              <w:rPr>
                <w:b/>
                <w:bCs/>
              </w:rPr>
            </w:pPr>
          </w:p>
        </w:tc>
        <w:tc>
          <w:tcPr>
            <w:tcW w:w="1119" w:type="dxa"/>
            <w:noWrap w:val="0"/>
            <w:vAlign w:val="center"/>
          </w:tcPr>
          <w:p w14:paraId="3EA8AC1E">
            <w:pPr>
              <w:spacing w:before="220" w:line="173" w:lineRule="exact"/>
              <w:jc w:val="center"/>
              <w:rPr>
                <w:rFonts w:hint="default" w:ascii="宋体" w:hAnsi="宋体" w:eastAsia="宋体" w:cs="宋体"/>
                <w:spacing w:val="-2"/>
                <w:sz w:val="21"/>
                <w:szCs w:val="21"/>
                <w:lang w:val="en-US" w:eastAsia="zh-CN"/>
              </w:rPr>
            </w:pPr>
            <w:r>
              <w:rPr>
                <w:rFonts w:hint="eastAsia" w:ascii="宋体" w:hAnsi="宋体" w:eastAsia="宋体" w:cs="宋体"/>
                <w:spacing w:val="-2"/>
                <w:sz w:val="21"/>
                <w:szCs w:val="21"/>
                <w:lang w:val="en-US" w:eastAsia="zh-CN"/>
              </w:rPr>
              <w:t>时效指标</w:t>
            </w:r>
          </w:p>
        </w:tc>
        <w:tc>
          <w:tcPr>
            <w:tcW w:w="2647" w:type="dxa"/>
            <w:gridSpan w:val="2"/>
            <w:noWrap w:val="0"/>
            <w:vAlign w:val="center"/>
          </w:tcPr>
          <w:p w14:paraId="5306E67A">
            <w:pPr>
              <w:spacing w:before="220" w:line="173" w:lineRule="exact"/>
              <w:jc w:val="both"/>
              <w:rPr>
                <w:rFonts w:hint="default" w:ascii="宋体" w:hAnsi="宋体" w:eastAsia="宋体" w:cs="宋体"/>
                <w:spacing w:val="-2"/>
                <w:sz w:val="21"/>
                <w:szCs w:val="21"/>
                <w:lang w:val="en-US" w:eastAsia="zh-CN"/>
              </w:rPr>
            </w:pPr>
            <w:r>
              <w:rPr>
                <w:rFonts w:hint="default" w:ascii="宋体" w:hAnsi="宋体" w:eastAsia="宋体" w:cs="宋体"/>
                <w:spacing w:val="-2"/>
                <w:sz w:val="21"/>
                <w:szCs w:val="21"/>
                <w:lang w:val="en-US" w:eastAsia="zh-CN"/>
              </w:rPr>
              <w:t>能否及时完成上级各部门下派任务</w:t>
            </w:r>
          </w:p>
        </w:tc>
        <w:tc>
          <w:tcPr>
            <w:tcW w:w="1458" w:type="dxa"/>
            <w:gridSpan w:val="2"/>
            <w:noWrap w:val="0"/>
            <w:vAlign w:val="center"/>
          </w:tcPr>
          <w:p w14:paraId="435E2156">
            <w:pPr>
              <w:jc w:val="center"/>
              <w:rPr>
                <w:rFonts w:hint="eastAsia" w:ascii="Arial" w:hAnsi="Times New Roman" w:eastAsia="宋体" w:cs="Times New Roman"/>
                <w:sz w:val="21"/>
                <w:lang w:val="en-US" w:eastAsia="zh-CN"/>
              </w:rPr>
            </w:pPr>
            <w:r>
              <w:rPr>
                <w:rFonts w:hint="default" w:ascii="Arial" w:hAnsi="Times New Roman" w:eastAsia="宋体" w:cs="Times New Roman"/>
                <w:sz w:val="21"/>
                <w:lang w:val="en-US" w:eastAsia="zh-CN"/>
              </w:rPr>
              <w:t>及时完成</w:t>
            </w:r>
          </w:p>
        </w:tc>
        <w:tc>
          <w:tcPr>
            <w:tcW w:w="1318" w:type="dxa"/>
            <w:noWrap w:val="0"/>
            <w:vAlign w:val="center"/>
          </w:tcPr>
          <w:p w14:paraId="73C051A5">
            <w:pPr>
              <w:jc w:val="center"/>
              <w:rPr>
                <w:rFonts w:hint="eastAsia" w:ascii="Arial" w:hAnsi="Times New Roman" w:eastAsia="宋体" w:cs="Times New Roman"/>
                <w:kern w:val="2"/>
                <w:sz w:val="21"/>
                <w:lang w:val="en-US" w:eastAsia="zh-CN" w:bidi="ar-SA"/>
              </w:rPr>
            </w:pPr>
            <w:r>
              <w:rPr>
                <w:rFonts w:hint="default" w:ascii="Arial" w:hAnsi="Times New Roman" w:eastAsia="宋体" w:cs="Times New Roman"/>
                <w:sz w:val="21"/>
                <w:lang w:val="en-US" w:eastAsia="zh-CN"/>
              </w:rPr>
              <w:t>及时完成</w:t>
            </w:r>
          </w:p>
        </w:tc>
        <w:tc>
          <w:tcPr>
            <w:tcW w:w="884" w:type="dxa"/>
            <w:noWrap w:val="0"/>
            <w:vAlign w:val="center"/>
          </w:tcPr>
          <w:p w14:paraId="03908133">
            <w:pPr>
              <w:jc w:val="center"/>
              <w:rPr>
                <w:rFonts w:hint="default" w:ascii="Arial" w:eastAsia="宋体"/>
                <w:sz w:val="21"/>
                <w:lang w:val="en-US" w:eastAsia="zh-CN"/>
              </w:rPr>
            </w:pPr>
            <w:r>
              <w:rPr>
                <w:rFonts w:hint="eastAsia" w:ascii="Arial"/>
                <w:sz w:val="21"/>
                <w:lang w:val="en-US" w:eastAsia="zh-CN"/>
              </w:rPr>
              <w:t>15</w:t>
            </w:r>
          </w:p>
        </w:tc>
      </w:tr>
      <w:tr w14:paraId="0A33B8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9" w:hRule="atLeast"/>
        </w:trPr>
        <w:tc>
          <w:tcPr>
            <w:tcW w:w="814" w:type="dxa"/>
            <w:vMerge w:val="continue"/>
            <w:tcBorders>
              <w:top w:val="nil"/>
              <w:bottom w:val="nil"/>
            </w:tcBorders>
            <w:noWrap w:val="0"/>
            <w:vAlign w:val="top"/>
          </w:tcPr>
          <w:p w14:paraId="303C01DF">
            <w:pPr>
              <w:rPr>
                <w:rFonts w:ascii="Arial"/>
                <w:sz w:val="21"/>
              </w:rPr>
            </w:pPr>
          </w:p>
        </w:tc>
        <w:tc>
          <w:tcPr>
            <w:tcW w:w="689" w:type="dxa"/>
            <w:vMerge w:val="continue"/>
            <w:noWrap w:val="0"/>
            <w:vAlign w:val="top"/>
          </w:tcPr>
          <w:p w14:paraId="3EC61843">
            <w:pPr>
              <w:rPr>
                <w:b/>
                <w:bCs/>
              </w:rPr>
            </w:pPr>
          </w:p>
        </w:tc>
        <w:tc>
          <w:tcPr>
            <w:tcW w:w="1119" w:type="dxa"/>
            <w:noWrap w:val="0"/>
            <w:vAlign w:val="center"/>
          </w:tcPr>
          <w:p w14:paraId="7BDD294E">
            <w:pPr>
              <w:spacing w:before="220" w:line="173" w:lineRule="exact"/>
              <w:jc w:val="center"/>
              <w:rPr>
                <w:rFonts w:hint="default" w:ascii="宋体" w:hAnsi="宋体" w:eastAsia="宋体" w:cs="宋体"/>
                <w:spacing w:val="-2"/>
                <w:sz w:val="21"/>
                <w:szCs w:val="21"/>
                <w:lang w:val="en-US" w:eastAsia="zh-CN"/>
              </w:rPr>
            </w:pPr>
            <w:r>
              <w:rPr>
                <w:rFonts w:hint="eastAsia" w:ascii="宋体" w:hAnsi="宋体" w:eastAsia="宋体" w:cs="宋体"/>
                <w:spacing w:val="-2"/>
                <w:sz w:val="21"/>
                <w:szCs w:val="21"/>
                <w:lang w:val="en-US" w:eastAsia="zh-CN"/>
              </w:rPr>
              <w:t>质量指标</w:t>
            </w:r>
          </w:p>
        </w:tc>
        <w:tc>
          <w:tcPr>
            <w:tcW w:w="2647" w:type="dxa"/>
            <w:gridSpan w:val="2"/>
            <w:noWrap w:val="0"/>
            <w:vAlign w:val="center"/>
          </w:tcPr>
          <w:p w14:paraId="07815AFB">
            <w:pPr>
              <w:spacing w:before="220" w:line="173" w:lineRule="exact"/>
              <w:jc w:val="center"/>
              <w:rPr>
                <w:rFonts w:hint="default" w:ascii="宋体" w:hAnsi="宋体" w:eastAsia="宋体" w:cs="宋体"/>
                <w:spacing w:val="-2"/>
                <w:sz w:val="21"/>
                <w:szCs w:val="21"/>
                <w:lang w:val="en-US" w:eastAsia="zh-CN"/>
              </w:rPr>
            </w:pPr>
            <w:r>
              <w:rPr>
                <w:rFonts w:hint="eastAsia" w:ascii="宋体" w:hAnsi="宋体" w:eastAsia="宋体" w:cs="宋体"/>
                <w:spacing w:val="-2"/>
                <w:sz w:val="21"/>
                <w:szCs w:val="21"/>
                <w:lang w:val="en-US" w:eastAsia="zh-CN"/>
              </w:rPr>
              <w:t>完成上级部门下派工作任务质量</w:t>
            </w:r>
          </w:p>
        </w:tc>
        <w:tc>
          <w:tcPr>
            <w:tcW w:w="1458" w:type="dxa"/>
            <w:gridSpan w:val="2"/>
            <w:noWrap w:val="0"/>
            <w:vAlign w:val="center"/>
          </w:tcPr>
          <w:p w14:paraId="4403F1B4">
            <w:pPr>
              <w:jc w:val="center"/>
              <w:rPr>
                <w:rFonts w:hint="eastAsia" w:ascii="Arial" w:hAnsi="Times New Roman" w:eastAsia="宋体" w:cs="Times New Roman"/>
                <w:sz w:val="21"/>
                <w:lang w:val="en-US" w:eastAsia="zh-CN"/>
              </w:rPr>
            </w:pPr>
            <w:r>
              <w:rPr>
                <w:rFonts w:hint="eastAsia" w:ascii="Arial" w:hAnsi="Times New Roman" w:eastAsia="宋体" w:cs="Times New Roman"/>
                <w:sz w:val="21"/>
                <w:lang w:val="en-US" w:eastAsia="zh-CN"/>
              </w:rPr>
              <w:t>≥95%</w:t>
            </w:r>
          </w:p>
        </w:tc>
        <w:tc>
          <w:tcPr>
            <w:tcW w:w="1318" w:type="dxa"/>
            <w:noWrap w:val="0"/>
            <w:vAlign w:val="center"/>
          </w:tcPr>
          <w:p w14:paraId="0C604373">
            <w:pPr>
              <w:jc w:val="center"/>
              <w:rPr>
                <w:rFonts w:hint="eastAsia" w:ascii="Arial" w:hAnsi="Times New Roman" w:eastAsia="宋体" w:cs="Times New Roman"/>
                <w:kern w:val="2"/>
                <w:sz w:val="21"/>
                <w:lang w:val="en-US" w:eastAsia="zh-CN" w:bidi="ar-SA"/>
              </w:rPr>
            </w:pPr>
            <w:r>
              <w:rPr>
                <w:rFonts w:hint="eastAsia" w:ascii="Arial" w:hAnsi="Times New Roman" w:eastAsia="宋体" w:cs="Times New Roman"/>
                <w:sz w:val="21"/>
                <w:lang w:val="en-US" w:eastAsia="zh-CN"/>
              </w:rPr>
              <w:t>≥95%</w:t>
            </w:r>
          </w:p>
        </w:tc>
        <w:tc>
          <w:tcPr>
            <w:tcW w:w="884" w:type="dxa"/>
            <w:noWrap w:val="0"/>
            <w:vAlign w:val="center"/>
          </w:tcPr>
          <w:p w14:paraId="4340E870">
            <w:pPr>
              <w:jc w:val="center"/>
              <w:rPr>
                <w:rFonts w:hint="default" w:ascii="Arial" w:eastAsia="宋体"/>
                <w:sz w:val="21"/>
                <w:lang w:val="en-US" w:eastAsia="zh-CN"/>
              </w:rPr>
            </w:pPr>
            <w:r>
              <w:rPr>
                <w:rFonts w:hint="eastAsia" w:ascii="Arial"/>
                <w:sz w:val="21"/>
                <w:lang w:val="en-US" w:eastAsia="zh-CN"/>
              </w:rPr>
              <w:t>15</w:t>
            </w:r>
          </w:p>
        </w:tc>
      </w:tr>
      <w:tr w14:paraId="553814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814" w:type="dxa"/>
            <w:vMerge w:val="continue"/>
            <w:tcBorders>
              <w:top w:val="nil"/>
              <w:bottom w:val="nil"/>
            </w:tcBorders>
            <w:noWrap w:val="0"/>
            <w:vAlign w:val="top"/>
          </w:tcPr>
          <w:p w14:paraId="470CC71B">
            <w:pPr>
              <w:rPr>
                <w:rFonts w:ascii="Arial"/>
                <w:sz w:val="21"/>
              </w:rPr>
            </w:pPr>
          </w:p>
        </w:tc>
        <w:tc>
          <w:tcPr>
            <w:tcW w:w="689" w:type="dxa"/>
            <w:vMerge w:val="restart"/>
            <w:tcBorders>
              <w:top w:val="nil"/>
            </w:tcBorders>
            <w:noWrap w:val="0"/>
            <w:vAlign w:val="top"/>
          </w:tcPr>
          <w:p w14:paraId="26D1CD51">
            <w:pPr>
              <w:jc w:val="center"/>
              <w:rPr>
                <w:rFonts w:ascii="Calibri" w:hAnsi="Calibri" w:eastAsia="宋体" w:cs="Times New Roman"/>
                <w:b/>
                <w:bCs/>
              </w:rPr>
            </w:pPr>
          </w:p>
          <w:p w14:paraId="5A20A545">
            <w:pPr>
              <w:bidi w:val="0"/>
              <w:rPr>
                <w:kern w:val="2"/>
                <w:sz w:val="21"/>
                <w:lang w:val="en-US" w:eastAsia="zh-CN" w:bidi="ar-SA"/>
              </w:rPr>
            </w:pPr>
          </w:p>
          <w:p w14:paraId="241E403F">
            <w:pPr>
              <w:jc w:val="center"/>
              <w:rPr>
                <w:rFonts w:hint="eastAsia" w:ascii="Times New Roman" w:hAnsi="Times New Roman" w:eastAsia="宋体" w:cs="Times New Roman"/>
                <w:b/>
                <w:bCs/>
                <w:lang w:val="en-US" w:eastAsia="zh-CN"/>
              </w:rPr>
            </w:pPr>
            <w:r>
              <w:rPr>
                <w:rFonts w:hint="eastAsia" w:ascii="Times New Roman" w:hAnsi="Times New Roman" w:eastAsia="宋体" w:cs="Times New Roman"/>
                <w:b/>
                <w:bCs/>
                <w:lang w:val="en-US" w:eastAsia="zh-CN"/>
              </w:rPr>
              <w:t>效益</w:t>
            </w:r>
          </w:p>
          <w:p w14:paraId="426E7BC6">
            <w:pPr>
              <w:jc w:val="center"/>
              <w:rPr>
                <w:rFonts w:hint="default"/>
                <w:lang w:val="en-US" w:eastAsia="zh-CN"/>
              </w:rPr>
            </w:pPr>
            <w:r>
              <w:rPr>
                <w:rFonts w:hint="eastAsia" w:ascii="Times New Roman" w:hAnsi="Times New Roman" w:eastAsia="宋体" w:cs="Times New Roman"/>
                <w:b/>
                <w:bCs/>
                <w:lang w:val="en-US" w:eastAsia="zh-CN"/>
              </w:rPr>
              <w:t>指标</w:t>
            </w:r>
          </w:p>
        </w:tc>
        <w:tc>
          <w:tcPr>
            <w:tcW w:w="1119" w:type="dxa"/>
            <w:noWrap w:val="0"/>
            <w:vAlign w:val="center"/>
          </w:tcPr>
          <w:p w14:paraId="50EF26CC">
            <w:pPr>
              <w:spacing w:before="107" w:line="242" w:lineRule="auto"/>
              <w:ind w:left="281" w:leftChars="0" w:right="86" w:rightChars="0" w:hanging="210" w:firstLineChars="0"/>
              <w:jc w:val="center"/>
              <w:rPr>
                <w:rFonts w:ascii="宋体" w:hAnsi="宋体" w:eastAsia="宋体" w:cs="宋体"/>
                <w:kern w:val="2"/>
                <w:sz w:val="21"/>
                <w:szCs w:val="21"/>
                <w:lang w:val="en-US" w:eastAsia="zh-CN" w:bidi="ar-SA"/>
              </w:rPr>
            </w:pPr>
            <w:r>
              <w:rPr>
                <w:rFonts w:ascii="宋体" w:hAnsi="宋体" w:eastAsia="宋体" w:cs="宋体"/>
                <w:spacing w:val="-3"/>
                <w:sz w:val="21"/>
                <w:szCs w:val="21"/>
              </w:rPr>
              <w:t>社会效益</w:t>
            </w:r>
            <w:r>
              <w:rPr>
                <w:rFonts w:ascii="宋体" w:hAnsi="宋体" w:eastAsia="宋体" w:cs="宋体"/>
                <w:spacing w:val="1"/>
                <w:sz w:val="21"/>
                <w:szCs w:val="21"/>
              </w:rPr>
              <w:t xml:space="preserve"> </w:t>
            </w:r>
            <w:r>
              <w:rPr>
                <w:rFonts w:ascii="宋体" w:hAnsi="宋体" w:eastAsia="宋体" w:cs="宋体"/>
                <w:spacing w:val="-3"/>
                <w:sz w:val="21"/>
                <w:szCs w:val="21"/>
              </w:rPr>
              <w:t>指标</w:t>
            </w:r>
          </w:p>
        </w:tc>
        <w:tc>
          <w:tcPr>
            <w:tcW w:w="2647" w:type="dxa"/>
            <w:gridSpan w:val="2"/>
            <w:noWrap w:val="0"/>
            <w:vAlign w:val="center"/>
          </w:tcPr>
          <w:p w14:paraId="1F75243D">
            <w:pPr>
              <w:jc w:val="both"/>
              <w:rPr>
                <w:rFonts w:hint="default" w:ascii="Arial" w:eastAsia="宋体"/>
                <w:kern w:val="2"/>
                <w:sz w:val="21"/>
                <w:lang w:val="en-US" w:eastAsia="zh-CN" w:bidi="ar-SA"/>
              </w:rPr>
            </w:pPr>
            <w:r>
              <w:rPr>
                <w:rFonts w:hint="eastAsia" w:ascii="Arial"/>
                <w:sz w:val="21"/>
                <w:lang w:val="en-US" w:eastAsia="zh-CN"/>
              </w:rPr>
              <w:t>巩固全区社会治安、民生安生度</w:t>
            </w:r>
          </w:p>
        </w:tc>
        <w:tc>
          <w:tcPr>
            <w:tcW w:w="1458" w:type="dxa"/>
            <w:gridSpan w:val="2"/>
            <w:noWrap w:val="0"/>
            <w:vAlign w:val="center"/>
          </w:tcPr>
          <w:p w14:paraId="3A56445F">
            <w:pPr>
              <w:jc w:val="center"/>
              <w:rPr>
                <w:rFonts w:hint="default" w:ascii="Arial" w:hAnsi="Times New Roman" w:eastAsia="宋体" w:cs="Times New Roman"/>
                <w:sz w:val="21"/>
                <w:lang w:val="en-US" w:eastAsia="zh-CN"/>
              </w:rPr>
            </w:pPr>
            <w:r>
              <w:rPr>
                <w:rFonts w:hint="default" w:ascii="Arial" w:hAnsi="Times New Roman" w:eastAsia="宋体" w:cs="Times New Roman"/>
                <w:sz w:val="21"/>
                <w:lang w:val="en-US" w:eastAsia="zh-CN"/>
              </w:rPr>
              <w:t>≥95%</w:t>
            </w:r>
          </w:p>
        </w:tc>
        <w:tc>
          <w:tcPr>
            <w:tcW w:w="1318" w:type="dxa"/>
            <w:noWrap w:val="0"/>
            <w:vAlign w:val="center"/>
          </w:tcPr>
          <w:p w14:paraId="6CC0D8AE">
            <w:pPr>
              <w:jc w:val="center"/>
              <w:rPr>
                <w:rFonts w:hint="default" w:ascii="Arial" w:hAnsi="Times New Roman" w:eastAsia="宋体" w:cs="Times New Roman"/>
                <w:kern w:val="2"/>
                <w:sz w:val="21"/>
                <w:lang w:val="en-US" w:eastAsia="zh-CN" w:bidi="ar-SA"/>
              </w:rPr>
            </w:pPr>
            <w:r>
              <w:rPr>
                <w:rFonts w:hint="default" w:ascii="Arial" w:hAnsi="Times New Roman" w:eastAsia="宋体" w:cs="Times New Roman"/>
                <w:sz w:val="21"/>
                <w:lang w:val="en-US" w:eastAsia="zh-CN"/>
              </w:rPr>
              <w:t>≥95%</w:t>
            </w:r>
          </w:p>
        </w:tc>
        <w:tc>
          <w:tcPr>
            <w:tcW w:w="884" w:type="dxa"/>
            <w:noWrap w:val="0"/>
            <w:vAlign w:val="center"/>
          </w:tcPr>
          <w:p w14:paraId="15798E68">
            <w:pPr>
              <w:jc w:val="center"/>
              <w:rPr>
                <w:rFonts w:hint="default" w:ascii="Arial" w:eastAsia="宋体"/>
                <w:sz w:val="21"/>
                <w:lang w:val="en-US" w:eastAsia="zh-CN"/>
              </w:rPr>
            </w:pPr>
            <w:r>
              <w:rPr>
                <w:rFonts w:hint="eastAsia" w:ascii="Arial"/>
                <w:sz w:val="21"/>
                <w:lang w:val="en-US" w:eastAsia="zh-CN"/>
              </w:rPr>
              <w:t>15</w:t>
            </w:r>
          </w:p>
        </w:tc>
      </w:tr>
      <w:tr w14:paraId="7479B9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814" w:type="dxa"/>
            <w:vMerge w:val="continue"/>
            <w:tcBorders>
              <w:top w:val="nil"/>
              <w:bottom w:val="nil"/>
            </w:tcBorders>
            <w:noWrap w:val="0"/>
            <w:vAlign w:val="top"/>
          </w:tcPr>
          <w:p w14:paraId="2BB108D6">
            <w:pPr>
              <w:rPr>
                <w:rFonts w:ascii="Arial"/>
                <w:sz w:val="21"/>
              </w:rPr>
            </w:pPr>
          </w:p>
        </w:tc>
        <w:tc>
          <w:tcPr>
            <w:tcW w:w="689" w:type="dxa"/>
            <w:vMerge w:val="continue"/>
            <w:tcBorders>
              <w:bottom w:val="nil"/>
            </w:tcBorders>
            <w:noWrap w:val="0"/>
            <w:vAlign w:val="top"/>
          </w:tcPr>
          <w:p w14:paraId="7C813B09">
            <w:pPr>
              <w:jc w:val="center"/>
              <w:rPr>
                <w:rFonts w:ascii="Calibri" w:hAnsi="Calibri" w:eastAsia="宋体" w:cs="Times New Roman"/>
                <w:b/>
                <w:bCs/>
              </w:rPr>
            </w:pPr>
          </w:p>
        </w:tc>
        <w:tc>
          <w:tcPr>
            <w:tcW w:w="1119" w:type="dxa"/>
            <w:noWrap w:val="0"/>
            <w:vAlign w:val="center"/>
          </w:tcPr>
          <w:p w14:paraId="4249E1D8">
            <w:pPr>
              <w:spacing w:before="118" w:line="242" w:lineRule="auto"/>
              <w:ind w:left="281" w:leftChars="0" w:right="86" w:rightChars="0" w:hanging="210" w:firstLineChars="0"/>
              <w:jc w:val="center"/>
              <w:rPr>
                <w:rFonts w:ascii="宋体" w:hAnsi="宋体" w:eastAsia="宋体" w:cs="宋体"/>
                <w:kern w:val="2"/>
                <w:sz w:val="21"/>
                <w:szCs w:val="21"/>
                <w:lang w:val="en-US" w:eastAsia="zh-CN" w:bidi="ar-SA"/>
              </w:rPr>
            </w:pPr>
            <w:r>
              <w:rPr>
                <w:rFonts w:hint="eastAsia" w:ascii="宋体" w:hAnsi="宋体" w:eastAsia="宋体" w:cs="宋体"/>
                <w:spacing w:val="-3"/>
                <w:sz w:val="21"/>
                <w:szCs w:val="21"/>
                <w:lang w:val="en-US" w:eastAsia="zh-CN"/>
              </w:rPr>
              <w:t>环境</w:t>
            </w:r>
            <w:r>
              <w:rPr>
                <w:rFonts w:ascii="宋体" w:hAnsi="宋体" w:eastAsia="宋体" w:cs="宋体"/>
                <w:spacing w:val="-3"/>
                <w:sz w:val="21"/>
                <w:szCs w:val="21"/>
              </w:rPr>
              <w:t>效益</w:t>
            </w:r>
            <w:r>
              <w:rPr>
                <w:rFonts w:ascii="宋体" w:hAnsi="宋体" w:eastAsia="宋体" w:cs="宋体"/>
                <w:spacing w:val="1"/>
                <w:sz w:val="21"/>
                <w:szCs w:val="21"/>
              </w:rPr>
              <w:t xml:space="preserve"> </w:t>
            </w:r>
            <w:r>
              <w:rPr>
                <w:rFonts w:ascii="宋体" w:hAnsi="宋体" w:eastAsia="宋体" w:cs="宋体"/>
                <w:spacing w:val="-3"/>
                <w:sz w:val="21"/>
                <w:szCs w:val="21"/>
              </w:rPr>
              <w:t>指标</w:t>
            </w:r>
          </w:p>
        </w:tc>
        <w:tc>
          <w:tcPr>
            <w:tcW w:w="2647" w:type="dxa"/>
            <w:gridSpan w:val="2"/>
            <w:noWrap w:val="0"/>
            <w:vAlign w:val="center"/>
          </w:tcPr>
          <w:p w14:paraId="32D8BBE1">
            <w:pPr>
              <w:jc w:val="both"/>
              <w:rPr>
                <w:rFonts w:hint="default" w:ascii="Arial" w:eastAsia="宋体"/>
                <w:kern w:val="2"/>
                <w:sz w:val="21"/>
                <w:lang w:val="en-US" w:eastAsia="zh-CN" w:bidi="ar-SA"/>
              </w:rPr>
            </w:pPr>
            <w:r>
              <w:rPr>
                <w:rFonts w:hint="eastAsia" w:ascii="Arial"/>
                <w:sz w:val="21"/>
                <w:lang w:val="en-US" w:eastAsia="zh-CN"/>
              </w:rPr>
              <w:t>改善全区环境</w:t>
            </w:r>
          </w:p>
        </w:tc>
        <w:tc>
          <w:tcPr>
            <w:tcW w:w="1458" w:type="dxa"/>
            <w:gridSpan w:val="2"/>
            <w:noWrap w:val="0"/>
            <w:vAlign w:val="center"/>
          </w:tcPr>
          <w:p w14:paraId="165274EE">
            <w:pPr>
              <w:jc w:val="center"/>
              <w:rPr>
                <w:rFonts w:hint="default" w:ascii="Arial" w:hAnsi="Times New Roman" w:eastAsia="宋体" w:cs="Times New Roman"/>
                <w:sz w:val="21"/>
                <w:lang w:val="en-US" w:eastAsia="zh-CN"/>
              </w:rPr>
            </w:pPr>
            <w:r>
              <w:rPr>
                <w:rFonts w:hint="default" w:ascii="Arial" w:hAnsi="Times New Roman" w:eastAsia="宋体" w:cs="Times New Roman"/>
                <w:sz w:val="21"/>
                <w:lang w:val="en-US" w:eastAsia="zh-CN"/>
              </w:rPr>
              <w:t>≥95%</w:t>
            </w:r>
          </w:p>
        </w:tc>
        <w:tc>
          <w:tcPr>
            <w:tcW w:w="1318" w:type="dxa"/>
            <w:noWrap w:val="0"/>
            <w:vAlign w:val="center"/>
          </w:tcPr>
          <w:p w14:paraId="2AE9792D">
            <w:pPr>
              <w:jc w:val="center"/>
              <w:rPr>
                <w:rFonts w:hint="default" w:ascii="Arial" w:hAnsi="Times New Roman" w:eastAsia="宋体" w:cs="Times New Roman"/>
                <w:kern w:val="2"/>
                <w:sz w:val="21"/>
                <w:lang w:val="en-US" w:eastAsia="zh-CN" w:bidi="ar-SA"/>
              </w:rPr>
            </w:pPr>
            <w:r>
              <w:rPr>
                <w:rFonts w:hint="default" w:ascii="Arial" w:hAnsi="Times New Roman" w:eastAsia="宋体" w:cs="Times New Roman"/>
                <w:sz w:val="21"/>
                <w:lang w:val="en-US" w:eastAsia="zh-CN"/>
              </w:rPr>
              <w:t>≥95%</w:t>
            </w:r>
          </w:p>
        </w:tc>
        <w:tc>
          <w:tcPr>
            <w:tcW w:w="884" w:type="dxa"/>
            <w:noWrap w:val="0"/>
            <w:vAlign w:val="center"/>
          </w:tcPr>
          <w:p w14:paraId="2D94AF1B">
            <w:pPr>
              <w:jc w:val="center"/>
              <w:rPr>
                <w:rFonts w:hint="default" w:ascii="Arial" w:eastAsia="宋体"/>
                <w:sz w:val="21"/>
                <w:lang w:val="en-US" w:eastAsia="zh-CN"/>
              </w:rPr>
            </w:pPr>
            <w:r>
              <w:rPr>
                <w:rFonts w:hint="eastAsia" w:ascii="Arial"/>
                <w:sz w:val="21"/>
                <w:lang w:val="en-US" w:eastAsia="zh-CN"/>
              </w:rPr>
              <w:t>10</w:t>
            </w:r>
          </w:p>
        </w:tc>
      </w:tr>
      <w:tr w14:paraId="1F3650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814" w:type="dxa"/>
            <w:vMerge w:val="continue"/>
            <w:tcBorders>
              <w:top w:val="nil"/>
              <w:bottom w:val="nil"/>
            </w:tcBorders>
            <w:noWrap w:val="0"/>
            <w:vAlign w:val="top"/>
          </w:tcPr>
          <w:p w14:paraId="54FF9468">
            <w:pPr>
              <w:rPr>
                <w:rFonts w:ascii="Arial"/>
                <w:sz w:val="21"/>
              </w:rPr>
            </w:pPr>
          </w:p>
        </w:tc>
        <w:tc>
          <w:tcPr>
            <w:tcW w:w="689" w:type="dxa"/>
            <w:tcBorders>
              <w:bottom w:val="nil"/>
            </w:tcBorders>
            <w:noWrap w:val="0"/>
            <w:vAlign w:val="center"/>
          </w:tcPr>
          <w:p w14:paraId="078974F7">
            <w:pPr>
              <w:jc w:val="center"/>
              <w:rPr>
                <w:rFonts w:ascii="Calibri" w:hAnsi="Calibri" w:eastAsia="宋体" w:cs="Times New Roman"/>
                <w:b/>
                <w:bCs/>
              </w:rPr>
            </w:pPr>
            <w:r>
              <w:rPr>
                <w:rFonts w:ascii="Calibri" w:hAnsi="Calibri" w:eastAsia="宋体" w:cs="Times New Roman"/>
                <w:b/>
                <w:bCs/>
              </w:rPr>
              <w:t>满意</w:t>
            </w:r>
          </w:p>
          <w:p w14:paraId="42E83451">
            <w:pPr>
              <w:jc w:val="center"/>
              <w:rPr>
                <w:rFonts w:ascii="Calibri" w:hAnsi="Calibri" w:eastAsia="宋体" w:cs="Times New Roman"/>
                <w:b/>
                <w:bCs/>
              </w:rPr>
            </w:pPr>
            <w:r>
              <w:rPr>
                <w:rFonts w:ascii="Calibri" w:hAnsi="Calibri" w:eastAsia="宋体" w:cs="Times New Roman"/>
                <w:b/>
                <w:bCs/>
              </w:rPr>
              <w:t>度指</w:t>
            </w:r>
          </w:p>
          <w:p w14:paraId="46C87343">
            <w:pPr>
              <w:jc w:val="center"/>
              <w:rPr>
                <w:rFonts w:ascii="Calibri" w:hAnsi="Calibri" w:eastAsia="宋体" w:cs="Times New Roman"/>
                <w:b/>
                <w:bCs/>
              </w:rPr>
            </w:pPr>
            <w:r>
              <w:rPr>
                <w:rFonts w:ascii="Calibri" w:hAnsi="Calibri" w:eastAsia="宋体" w:cs="Times New Roman"/>
                <w:b/>
                <w:bCs/>
              </w:rPr>
              <w:t>标</w:t>
            </w:r>
          </w:p>
        </w:tc>
        <w:tc>
          <w:tcPr>
            <w:tcW w:w="1119" w:type="dxa"/>
            <w:noWrap w:val="0"/>
            <w:vAlign w:val="center"/>
          </w:tcPr>
          <w:p w14:paraId="3BFDF9A3">
            <w:pPr>
              <w:spacing w:before="269" w:line="219" w:lineRule="auto"/>
              <w:ind w:left="71"/>
              <w:jc w:val="center"/>
              <w:rPr>
                <w:rFonts w:ascii="宋体" w:hAnsi="宋体" w:eastAsia="宋体" w:cs="宋体"/>
                <w:sz w:val="21"/>
                <w:szCs w:val="21"/>
              </w:rPr>
            </w:pPr>
            <w:r>
              <w:rPr>
                <w:rFonts w:ascii="宋体" w:hAnsi="宋体" w:eastAsia="宋体" w:cs="宋体"/>
                <w:spacing w:val="-2"/>
                <w:sz w:val="21"/>
                <w:szCs w:val="21"/>
              </w:rPr>
              <w:t>服务对象</w:t>
            </w:r>
          </w:p>
          <w:p w14:paraId="26DCCF9C">
            <w:pPr>
              <w:spacing w:before="60" w:line="219" w:lineRule="auto"/>
              <w:jc w:val="center"/>
              <w:rPr>
                <w:rFonts w:ascii="宋体" w:hAnsi="宋体" w:eastAsia="宋体" w:cs="宋体"/>
                <w:spacing w:val="-3"/>
                <w:sz w:val="21"/>
                <w:szCs w:val="21"/>
              </w:rPr>
            </w:pPr>
            <w:r>
              <w:rPr>
                <w:rFonts w:ascii="宋体" w:hAnsi="宋体" w:eastAsia="宋体" w:cs="宋体"/>
                <w:spacing w:val="4"/>
                <w:sz w:val="21"/>
                <w:szCs w:val="21"/>
              </w:rPr>
              <w:t>满意度</w:t>
            </w:r>
            <w:r>
              <w:rPr>
                <w:rFonts w:ascii="宋体" w:hAnsi="宋体" w:eastAsia="宋体" w:cs="宋体"/>
                <w:spacing w:val="-3"/>
                <w:sz w:val="21"/>
                <w:szCs w:val="21"/>
              </w:rPr>
              <w:t>指</w:t>
            </w:r>
          </w:p>
          <w:p w14:paraId="7EBA230C">
            <w:pPr>
              <w:spacing w:before="60" w:line="219" w:lineRule="auto"/>
              <w:jc w:val="center"/>
              <w:rPr>
                <w:rFonts w:ascii="宋体" w:hAnsi="宋体" w:eastAsia="宋体" w:cs="宋体"/>
                <w:sz w:val="11"/>
                <w:szCs w:val="11"/>
              </w:rPr>
            </w:pPr>
            <w:r>
              <w:rPr>
                <w:rFonts w:ascii="宋体" w:hAnsi="宋体" w:eastAsia="宋体" w:cs="宋体"/>
                <w:spacing w:val="-3"/>
                <w:sz w:val="21"/>
                <w:szCs w:val="21"/>
              </w:rPr>
              <w:t>标</w:t>
            </w:r>
          </w:p>
        </w:tc>
        <w:tc>
          <w:tcPr>
            <w:tcW w:w="2647" w:type="dxa"/>
            <w:gridSpan w:val="2"/>
            <w:noWrap w:val="0"/>
            <w:vAlign w:val="center"/>
          </w:tcPr>
          <w:p w14:paraId="183CC7AD">
            <w:pPr>
              <w:jc w:val="left"/>
              <w:rPr>
                <w:rFonts w:hint="default" w:ascii="Arial" w:eastAsia="宋体"/>
                <w:kern w:val="2"/>
                <w:sz w:val="21"/>
                <w:lang w:val="en-US" w:eastAsia="zh-CN" w:bidi="ar-SA"/>
              </w:rPr>
            </w:pPr>
            <w:r>
              <w:rPr>
                <w:rFonts w:hint="eastAsia" w:ascii="Arial"/>
                <w:sz w:val="21"/>
                <w:lang w:val="en-US" w:eastAsia="zh-CN"/>
              </w:rPr>
              <w:t>群众满意度</w:t>
            </w:r>
          </w:p>
        </w:tc>
        <w:tc>
          <w:tcPr>
            <w:tcW w:w="1458" w:type="dxa"/>
            <w:gridSpan w:val="2"/>
            <w:noWrap w:val="0"/>
            <w:vAlign w:val="center"/>
          </w:tcPr>
          <w:p w14:paraId="26177CEF">
            <w:pPr>
              <w:jc w:val="center"/>
              <w:rPr>
                <w:rFonts w:hint="default" w:ascii="Arial" w:hAnsi="Times New Roman" w:eastAsia="宋体" w:cs="Times New Roman"/>
                <w:sz w:val="21"/>
                <w:lang w:val="en-US" w:eastAsia="zh-CN"/>
              </w:rPr>
            </w:pPr>
            <w:r>
              <w:rPr>
                <w:rFonts w:hint="default" w:ascii="Arial" w:hAnsi="Times New Roman" w:eastAsia="宋体" w:cs="Times New Roman"/>
                <w:sz w:val="21"/>
                <w:lang w:val="en-US" w:eastAsia="zh-CN"/>
              </w:rPr>
              <w:t>≥95%</w:t>
            </w:r>
          </w:p>
        </w:tc>
        <w:tc>
          <w:tcPr>
            <w:tcW w:w="1318" w:type="dxa"/>
            <w:noWrap w:val="0"/>
            <w:vAlign w:val="center"/>
          </w:tcPr>
          <w:p w14:paraId="1D72ABA4">
            <w:pPr>
              <w:jc w:val="center"/>
              <w:rPr>
                <w:rFonts w:hint="default" w:ascii="Arial" w:hAnsi="Times New Roman" w:eastAsia="宋体" w:cs="Times New Roman"/>
                <w:kern w:val="2"/>
                <w:sz w:val="21"/>
                <w:lang w:val="en-US" w:eastAsia="zh-CN" w:bidi="ar-SA"/>
              </w:rPr>
            </w:pPr>
            <w:r>
              <w:rPr>
                <w:rFonts w:hint="default" w:ascii="Arial" w:hAnsi="Times New Roman" w:eastAsia="宋体" w:cs="Times New Roman"/>
                <w:sz w:val="21"/>
                <w:lang w:val="en-US" w:eastAsia="zh-CN"/>
              </w:rPr>
              <w:t>≥95%</w:t>
            </w:r>
          </w:p>
        </w:tc>
        <w:tc>
          <w:tcPr>
            <w:tcW w:w="884" w:type="dxa"/>
            <w:noWrap w:val="0"/>
            <w:vAlign w:val="center"/>
          </w:tcPr>
          <w:p w14:paraId="400E435C">
            <w:pPr>
              <w:jc w:val="center"/>
              <w:rPr>
                <w:rFonts w:hint="default" w:ascii="Arial" w:eastAsia="宋体"/>
                <w:sz w:val="21"/>
                <w:lang w:val="en-US" w:eastAsia="zh-CN"/>
              </w:rPr>
            </w:pPr>
            <w:r>
              <w:rPr>
                <w:rFonts w:hint="eastAsia" w:ascii="Arial"/>
                <w:sz w:val="21"/>
                <w:lang w:val="en-US" w:eastAsia="zh-CN"/>
              </w:rPr>
              <w:t>10</w:t>
            </w:r>
          </w:p>
        </w:tc>
      </w:tr>
      <w:tr w14:paraId="13EE5C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4" w:hRule="atLeast"/>
        </w:trPr>
        <w:tc>
          <w:tcPr>
            <w:tcW w:w="814" w:type="dxa"/>
            <w:noWrap w:val="0"/>
            <w:vAlign w:val="top"/>
          </w:tcPr>
          <w:p w14:paraId="0A4557C5">
            <w:pPr>
              <w:spacing w:before="159" w:line="220" w:lineRule="auto"/>
              <w:ind w:left="175"/>
              <w:rPr>
                <w:rFonts w:ascii="宋体" w:hAnsi="宋体" w:eastAsia="宋体" w:cs="宋体"/>
                <w:sz w:val="22"/>
                <w:szCs w:val="22"/>
              </w:rPr>
            </w:pPr>
            <w:r>
              <w:rPr>
                <w:rFonts w:ascii="宋体" w:hAnsi="宋体" w:eastAsia="宋体" w:cs="宋体"/>
                <w:b/>
                <w:bCs/>
                <w:spacing w:val="4"/>
                <w:sz w:val="22"/>
                <w:szCs w:val="22"/>
              </w:rPr>
              <w:t>总分</w:t>
            </w:r>
          </w:p>
        </w:tc>
        <w:tc>
          <w:tcPr>
            <w:tcW w:w="8115" w:type="dxa"/>
            <w:gridSpan w:val="8"/>
            <w:noWrap w:val="0"/>
            <w:vAlign w:val="top"/>
          </w:tcPr>
          <w:p w14:paraId="30698A3C">
            <w:pPr>
              <w:rPr>
                <w:rFonts w:ascii="Arial"/>
                <w:sz w:val="21"/>
              </w:rPr>
            </w:pPr>
          </w:p>
          <w:p w14:paraId="340A0A79">
            <w:pPr>
              <w:tabs>
                <w:tab w:val="left" w:pos="3371"/>
              </w:tabs>
              <w:bidi w:val="0"/>
              <w:jc w:val="left"/>
              <w:rPr>
                <w:rFonts w:hint="default"/>
                <w:kern w:val="2"/>
                <w:sz w:val="21"/>
                <w:lang w:val="en-US" w:eastAsia="zh-CN" w:bidi="ar-SA"/>
              </w:rPr>
            </w:pPr>
            <w:r>
              <w:rPr>
                <w:rFonts w:hint="eastAsia"/>
                <w:kern w:val="2"/>
                <w:sz w:val="21"/>
                <w:lang w:val="en-US" w:eastAsia="zh-CN" w:bidi="ar-SA"/>
              </w:rPr>
              <w:tab/>
            </w:r>
            <w:r>
              <w:rPr>
                <w:rFonts w:hint="eastAsia"/>
                <w:kern w:val="2"/>
                <w:sz w:val="21"/>
                <w:lang w:val="en-US" w:eastAsia="zh-CN" w:bidi="ar-SA"/>
              </w:rPr>
              <w:t>100</w:t>
            </w:r>
          </w:p>
        </w:tc>
      </w:tr>
    </w:tbl>
    <w:p w14:paraId="6F639713">
      <w:pPr>
        <w:rPr>
          <w:rFonts w:ascii="Arial"/>
          <w:sz w:val="21"/>
        </w:rPr>
      </w:pPr>
    </w:p>
    <w:p w14:paraId="45A59BB6">
      <w:pPr>
        <w:sectPr>
          <w:footerReference r:id="rId3" w:type="default"/>
          <w:pgSz w:w="11900" w:h="16820"/>
          <w:pgMar w:top="1429" w:right="1395" w:bottom="911" w:left="1564" w:header="0" w:footer="782" w:gutter="0"/>
          <w:cols w:space="720" w:num="1"/>
        </w:sectPr>
      </w:pPr>
    </w:p>
    <w:p w14:paraId="28FAB24A"/>
    <w:p w14:paraId="04FC2470">
      <w:pPr>
        <w:spacing w:line="93" w:lineRule="exact"/>
      </w:pPr>
    </w:p>
    <w:tbl>
      <w:tblPr>
        <w:tblStyle w:val="9"/>
        <w:tblW w:w="892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23"/>
        <w:gridCol w:w="7406"/>
      </w:tblGrid>
      <w:tr w14:paraId="2A1C69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40" w:hRule="atLeast"/>
        </w:trPr>
        <w:tc>
          <w:tcPr>
            <w:tcW w:w="1523" w:type="dxa"/>
            <w:noWrap w:val="0"/>
            <w:vAlign w:val="top"/>
          </w:tcPr>
          <w:p w14:paraId="4D3D9544">
            <w:pPr>
              <w:spacing w:line="242" w:lineRule="auto"/>
              <w:rPr>
                <w:rFonts w:ascii="Arial"/>
                <w:sz w:val="21"/>
              </w:rPr>
            </w:pPr>
          </w:p>
          <w:p w14:paraId="021AB1EF">
            <w:pPr>
              <w:spacing w:line="242" w:lineRule="auto"/>
              <w:rPr>
                <w:rFonts w:ascii="Arial"/>
                <w:sz w:val="21"/>
              </w:rPr>
            </w:pPr>
          </w:p>
          <w:p w14:paraId="237CFEBE">
            <w:pPr>
              <w:spacing w:line="242" w:lineRule="auto"/>
              <w:rPr>
                <w:rFonts w:ascii="Arial"/>
                <w:sz w:val="21"/>
              </w:rPr>
            </w:pPr>
          </w:p>
          <w:p w14:paraId="7406C97E">
            <w:pPr>
              <w:spacing w:line="242" w:lineRule="auto"/>
              <w:rPr>
                <w:rFonts w:ascii="Arial"/>
                <w:sz w:val="21"/>
              </w:rPr>
            </w:pPr>
          </w:p>
          <w:p w14:paraId="42C9DAD7">
            <w:pPr>
              <w:spacing w:line="242" w:lineRule="auto"/>
              <w:rPr>
                <w:rFonts w:ascii="Arial"/>
                <w:sz w:val="21"/>
              </w:rPr>
            </w:pPr>
          </w:p>
          <w:p w14:paraId="4F3A85DE">
            <w:pPr>
              <w:spacing w:line="242" w:lineRule="auto"/>
              <w:rPr>
                <w:rFonts w:ascii="Arial"/>
                <w:sz w:val="21"/>
              </w:rPr>
            </w:pPr>
          </w:p>
          <w:p w14:paraId="1252BBB2">
            <w:pPr>
              <w:spacing w:line="242" w:lineRule="auto"/>
              <w:rPr>
                <w:rFonts w:ascii="Arial"/>
                <w:sz w:val="21"/>
              </w:rPr>
            </w:pPr>
          </w:p>
          <w:p w14:paraId="7B486FA5">
            <w:pPr>
              <w:spacing w:line="242" w:lineRule="auto"/>
              <w:rPr>
                <w:rFonts w:ascii="Arial"/>
                <w:b/>
                <w:bCs/>
                <w:sz w:val="21"/>
              </w:rPr>
            </w:pPr>
          </w:p>
          <w:p w14:paraId="11E2B614">
            <w:pPr>
              <w:jc w:val="center"/>
              <w:rPr>
                <w:b/>
                <w:bCs/>
              </w:rPr>
            </w:pPr>
            <w:r>
              <w:rPr>
                <w:b/>
                <w:bCs/>
              </w:rPr>
              <w:t>偏差大或</w:t>
            </w:r>
          </w:p>
          <w:p w14:paraId="4D84F019">
            <w:pPr>
              <w:jc w:val="center"/>
              <w:rPr>
                <w:b/>
                <w:bCs/>
              </w:rPr>
            </w:pPr>
            <w:r>
              <w:rPr>
                <w:b/>
                <w:bCs/>
              </w:rPr>
              <w:t>目标未完成</w:t>
            </w:r>
          </w:p>
          <w:p w14:paraId="55336BC1">
            <w:pPr>
              <w:jc w:val="center"/>
              <w:rPr>
                <w:rFonts w:ascii="宋体" w:hAnsi="宋体" w:eastAsia="宋体" w:cs="宋体"/>
                <w:sz w:val="20"/>
                <w:szCs w:val="20"/>
              </w:rPr>
            </w:pPr>
            <w:r>
              <w:rPr>
                <w:b/>
                <w:bCs/>
              </w:rPr>
              <w:t>原因分析</w:t>
            </w:r>
          </w:p>
        </w:tc>
        <w:tc>
          <w:tcPr>
            <w:tcW w:w="7406" w:type="dxa"/>
            <w:noWrap w:val="0"/>
            <w:vAlign w:val="top"/>
          </w:tcPr>
          <w:p w14:paraId="2B04D69A">
            <w:pPr>
              <w:rPr>
                <w:rFonts w:hint="eastAsia" w:ascii="Arial" w:eastAsia="宋体"/>
                <w:sz w:val="21"/>
                <w:lang w:val="en-US" w:eastAsia="zh-CN"/>
              </w:rPr>
            </w:pPr>
            <w:r>
              <w:rPr>
                <w:rFonts w:hint="eastAsia" w:ascii="Arial"/>
                <w:sz w:val="21"/>
                <w:lang w:val="en-US" w:eastAsia="zh-CN"/>
              </w:rPr>
              <w:t>无</w:t>
            </w:r>
          </w:p>
        </w:tc>
      </w:tr>
      <w:tr w14:paraId="533D71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0" w:hRule="atLeast"/>
        </w:trPr>
        <w:tc>
          <w:tcPr>
            <w:tcW w:w="1523" w:type="dxa"/>
            <w:noWrap w:val="0"/>
            <w:vAlign w:val="top"/>
          </w:tcPr>
          <w:p w14:paraId="638779BD">
            <w:pPr>
              <w:spacing w:line="269" w:lineRule="auto"/>
              <w:rPr>
                <w:rFonts w:ascii="Arial"/>
                <w:sz w:val="21"/>
              </w:rPr>
            </w:pPr>
          </w:p>
          <w:p w14:paraId="4C9953FD">
            <w:pPr>
              <w:spacing w:line="269" w:lineRule="auto"/>
              <w:rPr>
                <w:rFonts w:ascii="Arial"/>
                <w:sz w:val="21"/>
              </w:rPr>
            </w:pPr>
          </w:p>
          <w:p w14:paraId="3D13B868">
            <w:pPr>
              <w:spacing w:line="269" w:lineRule="auto"/>
              <w:rPr>
                <w:rFonts w:ascii="Arial"/>
                <w:sz w:val="21"/>
              </w:rPr>
            </w:pPr>
          </w:p>
          <w:p w14:paraId="3AF3C201">
            <w:pPr>
              <w:spacing w:line="270" w:lineRule="auto"/>
              <w:rPr>
                <w:rFonts w:ascii="Arial"/>
                <w:sz w:val="21"/>
              </w:rPr>
            </w:pPr>
          </w:p>
          <w:p w14:paraId="18006566">
            <w:pPr>
              <w:spacing w:line="270" w:lineRule="auto"/>
              <w:rPr>
                <w:rFonts w:ascii="Arial"/>
                <w:sz w:val="21"/>
              </w:rPr>
            </w:pPr>
          </w:p>
          <w:p w14:paraId="066D327E">
            <w:pPr>
              <w:spacing w:line="270" w:lineRule="auto"/>
              <w:rPr>
                <w:rFonts w:ascii="Arial"/>
                <w:sz w:val="21"/>
              </w:rPr>
            </w:pPr>
          </w:p>
          <w:p w14:paraId="0628F8F6">
            <w:pPr>
              <w:spacing w:line="270" w:lineRule="auto"/>
              <w:rPr>
                <w:rFonts w:ascii="Arial"/>
                <w:sz w:val="21"/>
              </w:rPr>
            </w:pPr>
          </w:p>
          <w:p w14:paraId="7CE9C210">
            <w:pPr>
              <w:spacing w:before="65" w:line="267" w:lineRule="auto"/>
              <w:ind w:left="154" w:right="147" w:firstLine="100"/>
              <w:jc w:val="center"/>
              <w:rPr>
                <w:rFonts w:ascii="宋体" w:hAnsi="宋体" w:eastAsia="宋体" w:cs="宋体"/>
                <w:sz w:val="20"/>
                <w:szCs w:val="20"/>
              </w:rPr>
            </w:pPr>
            <w:r>
              <w:rPr>
                <w:b/>
                <w:bCs/>
              </w:rPr>
              <w:t>改进措施及  结果应用方案</w:t>
            </w:r>
          </w:p>
        </w:tc>
        <w:tc>
          <w:tcPr>
            <w:tcW w:w="7406" w:type="dxa"/>
            <w:noWrap w:val="0"/>
            <w:vAlign w:val="top"/>
          </w:tcPr>
          <w:p w14:paraId="27E1C26D">
            <w:pPr>
              <w:rPr>
                <w:rFonts w:hint="eastAsia" w:ascii="Arial" w:eastAsia="宋体"/>
                <w:sz w:val="21"/>
                <w:lang w:val="en-US" w:eastAsia="zh-CN"/>
              </w:rPr>
            </w:pPr>
            <w:r>
              <w:rPr>
                <w:rFonts w:hint="eastAsia" w:ascii="Arial"/>
                <w:sz w:val="21"/>
                <w:lang w:val="en-US" w:eastAsia="zh-CN"/>
              </w:rPr>
              <w:t>无</w:t>
            </w:r>
          </w:p>
        </w:tc>
      </w:tr>
    </w:tbl>
    <w:p w14:paraId="7C76AB65">
      <w:pPr>
        <w:spacing w:before="46" w:line="224" w:lineRule="auto"/>
        <w:ind w:left="164"/>
        <w:rPr>
          <w:rFonts w:ascii="仿宋" w:hAnsi="仿宋" w:eastAsia="仿宋" w:cs="仿宋"/>
          <w:sz w:val="24"/>
          <w:szCs w:val="24"/>
        </w:rPr>
      </w:pPr>
      <w:r>
        <w:rPr>
          <w:rFonts w:ascii="仿宋" w:hAnsi="仿宋" w:eastAsia="仿宋" w:cs="仿宋"/>
          <w:spacing w:val="-27"/>
          <w:sz w:val="24"/>
          <w:szCs w:val="24"/>
        </w:rPr>
        <w:t>备注：</w:t>
      </w:r>
    </w:p>
    <w:p w14:paraId="4B8EE234">
      <w:pPr>
        <w:spacing w:before="40" w:line="257" w:lineRule="auto"/>
        <w:ind w:left="164" w:right="163" w:firstLine="410"/>
        <w:rPr>
          <w:rFonts w:ascii="仿宋" w:hAnsi="仿宋" w:eastAsia="仿宋" w:cs="仿宋"/>
          <w:sz w:val="21"/>
          <w:szCs w:val="21"/>
        </w:rPr>
      </w:pPr>
      <w:r>
        <w:rPr>
          <w:rFonts w:ascii="仿宋" w:hAnsi="仿宋" w:eastAsia="仿宋" w:cs="仿宋"/>
          <w:spacing w:val="8"/>
          <w:sz w:val="21"/>
          <w:szCs w:val="21"/>
        </w:rPr>
        <w:t>1.预算执行情况口径：预算数为调整后财政资金总额(包括上年结余结转),执行数为资</w:t>
      </w:r>
      <w:r>
        <w:rPr>
          <w:rFonts w:ascii="仿宋" w:hAnsi="仿宋" w:eastAsia="仿宋" w:cs="仿宋"/>
          <w:spacing w:val="5"/>
          <w:sz w:val="21"/>
          <w:szCs w:val="21"/>
        </w:rPr>
        <w:t xml:space="preserve"> </w:t>
      </w:r>
      <w:r>
        <w:rPr>
          <w:rFonts w:ascii="仿宋" w:hAnsi="仿宋" w:eastAsia="仿宋" w:cs="仿宋"/>
          <w:sz w:val="21"/>
          <w:szCs w:val="21"/>
        </w:rPr>
        <w:t>金使用单位财政资金实际支出数。涉及政府采购的项目支出要</w:t>
      </w:r>
      <w:r>
        <w:rPr>
          <w:rFonts w:ascii="仿宋" w:hAnsi="仿宋" w:eastAsia="仿宋" w:cs="仿宋"/>
          <w:spacing w:val="-1"/>
          <w:sz w:val="21"/>
          <w:szCs w:val="21"/>
        </w:rPr>
        <w:t>设置相关绩效指标反映政府采购</w:t>
      </w:r>
      <w:r>
        <w:rPr>
          <w:rFonts w:ascii="仿宋" w:hAnsi="仿宋" w:eastAsia="仿宋" w:cs="仿宋"/>
          <w:sz w:val="21"/>
          <w:szCs w:val="21"/>
        </w:rPr>
        <w:t xml:space="preserve"> </w:t>
      </w:r>
      <w:r>
        <w:rPr>
          <w:rFonts w:ascii="仿宋" w:hAnsi="仿宋" w:eastAsia="仿宋" w:cs="仿宋"/>
          <w:spacing w:val="-9"/>
          <w:sz w:val="21"/>
          <w:szCs w:val="21"/>
        </w:rPr>
        <w:t>管理情况。</w:t>
      </w:r>
    </w:p>
    <w:p w14:paraId="4C353CAD">
      <w:pPr>
        <w:spacing w:before="54" w:line="256" w:lineRule="auto"/>
        <w:ind w:left="164" w:right="199" w:firstLine="410"/>
        <w:rPr>
          <w:rFonts w:ascii="仿宋" w:hAnsi="仿宋" w:eastAsia="仿宋" w:cs="仿宋"/>
          <w:sz w:val="21"/>
          <w:szCs w:val="21"/>
        </w:rPr>
      </w:pPr>
      <w:r>
        <w:rPr>
          <w:rFonts w:ascii="仿宋" w:hAnsi="仿宋" w:eastAsia="仿宋" w:cs="仿宋"/>
          <w:spacing w:val="-1"/>
          <w:sz w:val="21"/>
          <w:szCs w:val="21"/>
        </w:rPr>
        <w:t>2.定量指标完成数汇总原则：绝对值直接累加计算，相对值按照资金额度加权平均计算。</w:t>
      </w:r>
      <w:r>
        <w:rPr>
          <w:rFonts w:ascii="仿宋" w:hAnsi="仿宋" w:eastAsia="仿宋" w:cs="仿宋"/>
          <w:spacing w:val="3"/>
          <w:sz w:val="21"/>
          <w:szCs w:val="21"/>
        </w:rPr>
        <w:t xml:space="preserve"> 定量指标计分原则：正向指标(即目标值为≥X,得分=权重*B/</w:t>
      </w:r>
      <w:r>
        <w:rPr>
          <w:rFonts w:ascii="仿宋" w:hAnsi="仿宋" w:eastAsia="仿宋" w:cs="仿宋"/>
          <w:spacing w:val="2"/>
          <w:sz w:val="21"/>
          <w:szCs w:val="21"/>
        </w:rPr>
        <w:t>A),</w:t>
      </w:r>
      <w:r>
        <w:rPr>
          <w:rFonts w:ascii="仿宋" w:hAnsi="仿宋" w:eastAsia="仿宋" w:cs="仿宋"/>
          <w:spacing w:val="52"/>
          <w:sz w:val="21"/>
          <w:szCs w:val="21"/>
        </w:rPr>
        <w:t xml:space="preserve"> </w:t>
      </w:r>
      <w:r>
        <w:rPr>
          <w:rFonts w:ascii="仿宋" w:hAnsi="仿宋" w:eastAsia="仿宋" w:cs="仿宋"/>
          <w:spacing w:val="2"/>
          <w:sz w:val="21"/>
          <w:szCs w:val="21"/>
        </w:rPr>
        <w:t>反向指标(即目标值为≤X,</w:t>
      </w:r>
      <w:r>
        <w:rPr>
          <w:rFonts w:ascii="仿宋" w:hAnsi="仿宋" w:eastAsia="仿宋" w:cs="仿宋"/>
          <w:sz w:val="21"/>
          <w:szCs w:val="21"/>
        </w:rPr>
        <w:t xml:space="preserve"> </w:t>
      </w:r>
      <w:r>
        <w:rPr>
          <w:rFonts w:ascii="仿宋" w:hAnsi="仿宋" w:eastAsia="仿宋" w:cs="仿宋"/>
          <w:spacing w:val="-1"/>
          <w:sz w:val="21"/>
          <w:szCs w:val="21"/>
        </w:rPr>
        <w:t>得分=权重*A/B),</w:t>
      </w:r>
      <w:r>
        <w:rPr>
          <w:rFonts w:ascii="仿宋" w:hAnsi="仿宋" w:eastAsia="仿宋" w:cs="仿宋"/>
          <w:spacing w:val="100"/>
          <w:sz w:val="21"/>
          <w:szCs w:val="21"/>
        </w:rPr>
        <w:t xml:space="preserve"> </w:t>
      </w:r>
      <w:r>
        <w:rPr>
          <w:rFonts w:ascii="仿宋" w:hAnsi="仿宋" w:eastAsia="仿宋" w:cs="仿宋"/>
          <w:spacing w:val="-1"/>
          <w:sz w:val="21"/>
          <w:szCs w:val="21"/>
        </w:rPr>
        <w:t>得分不得突破权重总额。定量指标</w:t>
      </w:r>
      <w:r>
        <w:rPr>
          <w:rFonts w:ascii="仿宋" w:hAnsi="仿宋" w:eastAsia="仿宋" w:cs="仿宋"/>
          <w:spacing w:val="-2"/>
          <w:sz w:val="21"/>
          <w:szCs w:val="21"/>
        </w:rPr>
        <w:t>先汇总完成数，再计算得分。</w:t>
      </w:r>
    </w:p>
    <w:p w14:paraId="28756C8C">
      <w:pPr>
        <w:spacing w:before="54" w:line="256" w:lineRule="auto"/>
        <w:ind w:left="164" w:right="179" w:firstLine="410"/>
        <w:rPr>
          <w:rFonts w:ascii="仿宋" w:hAnsi="仿宋" w:eastAsia="仿宋" w:cs="仿宋"/>
          <w:sz w:val="21"/>
          <w:szCs w:val="21"/>
        </w:rPr>
      </w:pPr>
      <w:r>
        <w:rPr>
          <w:rFonts w:ascii="仿宋" w:hAnsi="仿宋" w:eastAsia="仿宋" w:cs="仿宋"/>
          <w:sz w:val="21"/>
          <w:szCs w:val="21"/>
        </w:rPr>
        <w:t>3.定性指标计分原则：达成预期指标、部分达成预期指标并具有一定</w:t>
      </w:r>
      <w:r>
        <w:rPr>
          <w:rFonts w:ascii="仿宋" w:hAnsi="仿宋" w:eastAsia="仿宋" w:cs="仿宋"/>
          <w:spacing w:val="-1"/>
          <w:sz w:val="21"/>
          <w:szCs w:val="21"/>
        </w:rPr>
        <w:t>效果、未达成预期指</w:t>
      </w:r>
      <w:r>
        <w:rPr>
          <w:rFonts w:ascii="仿宋" w:hAnsi="仿宋" w:eastAsia="仿宋" w:cs="仿宋"/>
          <w:sz w:val="21"/>
          <w:szCs w:val="21"/>
        </w:rPr>
        <w:t xml:space="preserve"> </w:t>
      </w:r>
      <w:r>
        <w:rPr>
          <w:rFonts w:ascii="仿宋" w:hAnsi="仿宋" w:eastAsia="仿宋" w:cs="仿宋"/>
          <w:spacing w:val="4"/>
          <w:sz w:val="21"/>
          <w:szCs w:val="21"/>
        </w:rPr>
        <w:t>标且效果较差三档，分别按照该指标对应分值区间100-80%(含80</w:t>
      </w:r>
      <w:r>
        <w:rPr>
          <w:rFonts w:ascii="仿宋" w:hAnsi="仿宋" w:eastAsia="仿宋" w:cs="仿宋"/>
          <w:spacing w:val="3"/>
          <w:sz w:val="21"/>
          <w:szCs w:val="21"/>
        </w:rPr>
        <w:t>%)、80-50%(含50%)、50-0%</w:t>
      </w:r>
      <w:r>
        <w:rPr>
          <w:rFonts w:ascii="仿宋" w:hAnsi="仿宋" w:eastAsia="仿宋" w:cs="仿宋"/>
          <w:sz w:val="21"/>
          <w:szCs w:val="21"/>
        </w:rPr>
        <w:t xml:space="preserve"> </w:t>
      </w:r>
      <w:r>
        <w:rPr>
          <w:rFonts w:ascii="仿宋" w:hAnsi="仿宋" w:eastAsia="仿宋" w:cs="仿宋"/>
          <w:spacing w:val="-2"/>
          <w:sz w:val="21"/>
          <w:szCs w:val="21"/>
        </w:rPr>
        <w:t>合理确定分值。汇总时，以资金额度为权重，对分值进行加权平均计算。</w:t>
      </w:r>
    </w:p>
    <w:p w14:paraId="7ECBB11F">
      <w:pPr>
        <w:spacing w:before="58" w:line="220" w:lineRule="auto"/>
        <w:ind w:left="575"/>
        <w:rPr>
          <w:rFonts w:ascii="仿宋" w:hAnsi="仿宋" w:eastAsia="仿宋" w:cs="仿宋"/>
          <w:sz w:val="21"/>
          <w:szCs w:val="21"/>
        </w:rPr>
      </w:pPr>
      <w:r>
        <w:rPr>
          <w:rFonts w:ascii="仿宋" w:hAnsi="仿宋" w:eastAsia="仿宋" w:cs="仿宋"/>
          <w:spacing w:val="-1"/>
          <w:sz w:val="21"/>
          <w:szCs w:val="21"/>
        </w:rPr>
        <w:t>4.基于经济性和必要性等因素考虑，满意度指标暂</w:t>
      </w:r>
      <w:r>
        <w:rPr>
          <w:rFonts w:ascii="仿宋" w:hAnsi="仿宋" w:eastAsia="仿宋" w:cs="仿宋"/>
          <w:spacing w:val="-2"/>
          <w:sz w:val="21"/>
          <w:szCs w:val="21"/>
        </w:rPr>
        <w:t>可不作为必评指标。</w:t>
      </w:r>
    </w:p>
    <w:p w14:paraId="0607DBC1">
      <w:pPr>
        <w:spacing w:before="61" w:line="222" w:lineRule="auto"/>
        <w:ind w:left="575"/>
        <w:rPr>
          <w:rFonts w:ascii="仿宋" w:hAnsi="仿宋" w:eastAsia="仿宋" w:cs="仿宋"/>
          <w:sz w:val="21"/>
          <w:szCs w:val="21"/>
        </w:rPr>
      </w:pPr>
      <w:r>
        <w:rPr>
          <w:rFonts w:ascii="仿宋" w:hAnsi="仿宋" w:eastAsia="仿宋" w:cs="仿宋"/>
          <w:spacing w:val="-1"/>
          <w:sz w:val="21"/>
          <w:szCs w:val="21"/>
        </w:rPr>
        <w:t>5.涉及政府采购的项目支出应设置相关政府采购指标。</w:t>
      </w:r>
    </w:p>
    <w:p w14:paraId="5DDEE3C2">
      <w:pPr>
        <w:spacing w:before="56" w:line="219" w:lineRule="auto"/>
        <w:ind w:left="575"/>
        <w:rPr>
          <w:rFonts w:ascii="仿宋" w:hAnsi="仿宋" w:eastAsia="仿宋" w:cs="仿宋"/>
          <w:spacing w:val="-1"/>
          <w:sz w:val="21"/>
          <w:szCs w:val="21"/>
        </w:rPr>
      </w:pPr>
      <w:r>
        <w:rPr>
          <w:rFonts w:ascii="仿宋" w:hAnsi="仿宋" w:eastAsia="仿宋" w:cs="仿宋"/>
          <w:spacing w:val="-1"/>
          <w:sz w:val="21"/>
          <w:szCs w:val="21"/>
        </w:rPr>
        <w:t>6.本部门单位自评项目较多的亦可自行设计封面，请主要领导在封面上签字并加盖公章。</w:t>
      </w:r>
    </w:p>
    <w:p w14:paraId="0BD7CE0F">
      <w:pPr>
        <w:spacing w:before="56" w:line="219" w:lineRule="auto"/>
        <w:ind w:left="575"/>
        <w:rPr>
          <w:rFonts w:ascii="仿宋" w:hAnsi="仿宋" w:eastAsia="仿宋" w:cs="仿宋"/>
          <w:spacing w:val="-1"/>
          <w:sz w:val="21"/>
          <w:szCs w:val="21"/>
        </w:rPr>
      </w:pPr>
    </w:p>
    <w:p w14:paraId="5E0A6243">
      <w:pPr>
        <w:spacing w:before="56" w:line="219" w:lineRule="auto"/>
        <w:ind w:left="575"/>
        <w:rPr>
          <w:rFonts w:ascii="仿宋" w:hAnsi="仿宋" w:eastAsia="仿宋" w:cs="仿宋"/>
          <w:spacing w:val="-1"/>
          <w:sz w:val="21"/>
          <w:szCs w:val="21"/>
        </w:rPr>
      </w:pPr>
    </w:p>
    <w:p w14:paraId="26622BB2">
      <w:pPr>
        <w:spacing w:before="56" w:line="219" w:lineRule="auto"/>
        <w:ind w:left="575"/>
        <w:rPr>
          <w:rFonts w:ascii="仿宋" w:hAnsi="仿宋" w:eastAsia="仿宋" w:cs="仿宋"/>
          <w:spacing w:val="-1"/>
          <w:sz w:val="21"/>
          <w:szCs w:val="21"/>
        </w:rPr>
      </w:pPr>
      <w:r>
        <w:rPr>
          <w:rFonts w:ascii="仿宋" w:hAnsi="仿宋" w:eastAsia="仿宋" w:cs="仿宋"/>
          <w:spacing w:val="-1"/>
          <w:sz w:val="21"/>
          <w:szCs w:val="21"/>
        </w:rPr>
        <w:object>
          <v:shape id="_x0000_i1025" o:spt="75" type="#_x0000_t75" style="height:668.65pt;width:415.95pt;" o:ole="t" filled="f" o:preferrelative="t" stroked="f" coordsize="21600,21600">
            <v:path/>
            <v:fill on="f" focussize="0,0"/>
            <v:stroke on="f"/>
            <v:imagedata r:id="rId7" o:title=""/>
            <o:lock v:ext="edit" aspectratio="f"/>
            <w10:wrap type="none"/>
            <w10:anchorlock/>
          </v:shape>
          <o:OLEObject Type="Embed" ProgID="Excel.Sheet.8" ShapeID="_x0000_i1025" DrawAspect="Content" ObjectID="_1468075725" r:id="rId6">
            <o:LockedField>false</o:LockedField>
          </o:OLEObject>
        </w:object>
      </w:r>
    </w:p>
    <w:p w14:paraId="56F0F6DC">
      <w:pPr>
        <w:spacing w:before="56" w:line="219" w:lineRule="auto"/>
        <w:rPr>
          <w:rFonts w:ascii="仿宋" w:hAnsi="仿宋" w:eastAsia="仿宋" w:cs="仿宋"/>
          <w:spacing w:val="-1"/>
          <w:sz w:val="21"/>
          <w:szCs w:val="21"/>
        </w:rPr>
      </w:pPr>
    </w:p>
    <w:p w14:paraId="52C8B4DF">
      <w:pPr>
        <w:spacing w:before="56" w:line="219" w:lineRule="auto"/>
        <w:rPr>
          <w:rFonts w:ascii="仿宋" w:hAnsi="仿宋" w:eastAsia="仿宋" w:cs="仿宋"/>
          <w:spacing w:val="-1"/>
          <w:sz w:val="21"/>
          <w:szCs w:val="21"/>
        </w:rPr>
      </w:pPr>
    </w:p>
    <w:p w14:paraId="0C781B2C">
      <w:pPr>
        <w:spacing w:before="56" w:line="219" w:lineRule="auto"/>
        <w:ind w:left="575"/>
        <w:rPr>
          <w:rFonts w:ascii="仿宋" w:hAnsi="仿宋" w:eastAsia="仿宋" w:cs="仿宋"/>
          <w:spacing w:val="-1"/>
          <w:sz w:val="21"/>
          <w:szCs w:val="21"/>
        </w:rPr>
        <w:sectPr>
          <w:footerReference r:id="rId4" w:type="default"/>
          <w:type w:val="continuous"/>
          <w:pgSz w:w="11900" w:h="16820"/>
          <w:pgMar w:top="1429" w:right="1445" w:bottom="1218" w:left="1494" w:header="0" w:footer="1079" w:gutter="0"/>
          <w:cols w:space="720" w:num="1"/>
        </w:sectPr>
      </w:pPr>
      <w:r>
        <w:rPr>
          <w:rFonts w:ascii="仿宋" w:hAnsi="仿宋" w:eastAsia="仿宋" w:cs="仿宋"/>
          <w:spacing w:val="-1"/>
          <w:sz w:val="21"/>
          <w:szCs w:val="21"/>
        </w:rPr>
        <w:object>
          <v:shape id="_x0000_i1026" o:spt="75" type="#_x0000_t75" style="height:591.05pt;width:408.15pt;" o:ole="t" filled="f" o:preferrelative="t" stroked="f" coordsize="21600,21600">
            <v:path/>
            <v:fill on="f" focussize="0,0"/>
            <v:stroke on="f"/>
            <v:imagedata r:id="rId9" o:title=""/>
            <o:lock v:ext="edit" aspectratio="f"/>
            <w10:wrap type="none"/>
            <w10:anchorlock/>
          </v:shape>
          <o:OLEObject Type="Embed" ProgID="Excel.Sheet.8" ShapeID="_x0000_i1026" DrawAspect="Content" ObjectID="_1468075726" r:id="rId8">
            <o:LockedField>false</o:LockedField>
          </o:OLEObject>
        </w:object>
      </w:r>
      <w:r>
        <w:rPr>
          <w:rFonts w:ascii="仿宋" w:hAnsi="仿宋" w:eastAsia="仿宋" w:cs="仿宋"/>
          <w:spacing w:val="-1"/>
          <w:sz w:val="21"/>
          <w:szCs w:val="21"/>
        </w:rPr>
        <w:object>
          <v:shape id="_x0000_i1027" o:spt="75" type="#_x0000_t75" style="height:108.05pt;width:408.15pt;" o:ole="t" filled="f" o:preferrelative="t" stroked="f" coordsize="21600,21600">
            <v:path/>
            <v:fill on="f" focussize="0,0"/>
            <v:stroke on="f"/>
            <v:imagedata r:id="rId11" o:title=""/>
            <o:lock v:ext="edit" aspectratio="f"/>
            <w10:wrap type="none"/>
            <w10:anchorlock/>
          </v:shape>
          <o:OLEObject Type="Embed" ProgID="Excel.Sheet.8" ShapeID="_x0000_i1027" DrawAspect="Content" ObjectID="_1468075727" r:id="rId10">
            <o:LockedField>false</o:LockedField>
          </o:OLEObject>
        </w:object>
      </w:r>
    </w:p>
    <w:p w14:paraId="6C79658B">
      <w:pPr>
        <w:pStyle w:val="3"/>
        <w:keepNext w:val="0"/>
        <w:keepLines w:val="0"/>
        <w:widowControl/>
        <w:suppressLineNumbers w:val="0"/>
        <w:ind w:left="0" w:firstLine="0"/>
        <w:rPr>
          <w:rFonts w:hint="default" w:ascii="Arial" w:hAnsi="Arial" w:cs="Arial"/>
          <w:i w:val="0"/>
          <w:iCs w:val="0"/>
          <w:caps w:val="0"/>
          <w:color w:val="222222"/>
          <w:spacing w:val="0"/>
        </w:rPr>
      </w:pPr>
      <w:r>
        <w:rPr>
          <w:rFonts w:hint="default" w:ascii="Arial" w:hAnsi="Arial" w:cs="Arial"/>
          <w:i w:val="0"/>
          <w:iCs w:val="0"/>
          <w:caps w:val="0"/>
          <w:color w:val="222222"/>
          <w:spacing w:val="0"/>
        </w:rPr>
        <w:t>五、名词解释</w:t>
      </w:r>
    </w:p>
    <w:p w14:paraId="587F11B7">
      <w:pPr>
        <w:keepNext w:val="0"/>
        <w:keepLines w:val="0"/>
        <w:widowControl/>
        <w:suppressLineNumbers w:val="0"/>
        <w:ind w:left="0" w:firstLine="0"/>
        <w:jc w:val="left"/>
        <w:rPr>
          <w:rFonts w:hint="default" w:ascii="Arial" w:hAnsi="Arial" w:cs="Arial"/>
          <w:i w:val="0"/>
          <w:iCs w:val="0"/>
          <w:caps w:val="0"/>
          <w:color w:val="222222"/>
          <w:spacing w:val="0"/>
          <w:sz w:val="30"/>
          <w:szCs w:val="30"/>
        </w:rPr>
      </w:pPr>
      <w:r>
        <w:rPr>
          <w:rFonts w:hint="default" w:ascii="Arial" w:hAnsi="Arial" w:eastAsia="宋体" w:cs="Arial"/>
          <w:i w:val="0"/>
          <w:iCs w:val="0"/>
          <w:caps w:val="0"/>
          <w:color w:val="222222"/>
          <w:spacing w:val="0"/>
          <w:kern w:val="0"/>
          <w:sz w:val="30"/>
          <w:szCs w:val="30"/>
          <w:lang w:val="en-US" w:eastAsia="zh-CN" w:bidi="ar"/>
        </w:rPr>
        <w:t>一、财政拨款收入：指财政部门当年拨付的资金。</w:t>
      </w:r>
      <w:r>
        <w:rPr>
          <w:rFonts w:hint="default" w:ascii="Arial" w:hAnsi="Arial" w:eastAsia="宋体" w:cs="Arial"/>
          <w:i w:val="0"/>
          <w:iCs w:val="0"/>
          <w:caps w:val="0"/>
          <w:color w:val="222222"/>
          <w:spacing w:val="0"/>
          <w:kern w:val="0"/>
          <w:sz w:val="30"/>
          <w:szCs w:val="30"/>
          <w:lang w:val="en-US" w:eastAsia="zh-CN" w:bidi="ar"/>
        </w:rPr>
        <w:br w:type="textWrapping"/>
      </w:r>
      <w:r>
        <w:rPr>
          <w:rFonts w:hint="default" w:ascii="Arial" w:hAnsi="Arial" w:eastAsia="宋体" w:cs="Arial"/>
          <w:i w:val="0"/>
          <w:iCs w:val="0"/>
          <w:caps w:val="0"/>
          <w:color w:val="222222"/>
          <w:spacing w:val="0"/>
          <w:kern w:val="0"/>
          <w:sz w:val="30"/>
          <w:szCs w:val="30"/>
          <w:lang w:val="en-US" w:eastAsia="zh-CN" w:bidi="ar"/>
        </w:rPr>
        <w:t>二、事业收入：指事业单位开展专业业务活动及辅助活动所取得的收入。</w:t>
      </w:r>
      <w:r>
        <w:rPr>
          <w:rFonts w:hint="default" w:ascii="Arial" w:hAnsi="Arial" w:eastAsia="宋体" w:cs="Arial"/>
          <w:i w:val="0"/>
          <w:iCs w:val="0"/>
          <w:caps w:val="0"/>
          <w:color w:val="222222"/>
          <w:spacing w:val="0"/>
          <w:kern w:val="0"/>
          <w:sz w:val="30"/>
          <w:szCs w:val="30"/>
          <w:lang w:val="en-US" w:eastAsia="zh-CN" w:bidi="ar"/>
        </w:rPr>
        <w:br w:type="textWrapping"/>
      </w:r>
      <w:r>
        <w:rPr>
          <w:rFonts w:hint="default" w:ascii="Arial" w:hAnsi="Arial" w:eastAsia="宋体" w:cs="Arial"/>
          <w:i w:val="0"/>
          <w:iCs w:val="0"/>
          <w:caps w:val="0"/>
          <w:color w:val="222222"/>
          <w:spacing w:val="0"/>
          <w:kern w:val="0"/>
          <w:sz w:val="30"/>
          <w:szCs w:val="30"/>
          <w:lang w:val="en-US" w:eastAsia="zh-CN" w:bidi="ar"/>
        </w:rPr>
        <w:t>三、经营收入：指事业单位在专业业务活动及其辅助活动之外开展非独立核算经营活动取得的收入。</w:t>
      </w:r>
      <w:r>
        <w:rPr>
          <w:rFonts w:hint="default" w:ascii="Arial" w:hAnsi="Arial" w:eastAsia="宋体" w:cs="Arial"/>
          <w:i w:val="0"/>
          <w:iCs w:val="0"/>
          <w:caps w:val="0"/>
          <w:color w:val="222222"/>
          <w:spacing w:val="0"/>
          <w:kern w:val="0"/>
          <w:sz w:val="30"/>
          <w:szCs w:val="30"/>
          <w:lang w:val="en-US" w:eastAsia="zh-CN" w:bidi="ar"/>
        </w:rPr>
        <w:br w:type="textWrapping"/>
      </w:r>
      <w:r>
        <w:rPr>
          <w:rFonts w:hint="default" w:ascii="Arial" w:hAnsi="Arial" w:eastAsia="宋体" w:cs="Arial"/>
          <w:i w:val="0"/>
          <w:iCs w:val="0"/>
          <w:caps w:val="0"/>
          <w:color w:val="222222"/>
          <w:spacing w:val="0"/>
          <w:kern w:val="0"/>
          <w:sz w:val="30"/>
          <w:szCs w:val="30"/>
          <w:lang w:val="en-US" w:eastAsia="zh-CN" w:bidi="ar"/>
        </w:rPr>
        <w:t>四、其他收入：指除上述“财政拨款收入”、“事业收入”、“经营收入”等以外的收入。</w:t>
      </w:r>
      <w:r>
        <w:rPr>
          <w:rFonts w:hint="default" w:ascii="Arial" w:hAnsi="Arial" w:eastAsia="宋体" w:cs="Arial"/>
          <w:i w:val="0"/>
          <w:iCs w:val="0"/>
          <w:caps w:val="0"/>
          <w:color w:val="222222"/>
          <w:spacing w:val="0"/>
          <w:kern w:val="0"/>
          <w:sz w:val="30"/>
          <w:szCs w:val="30"/>
          <w:lang w:val="en-US" w:eastAsia="zh-CN" w:bidi="ar"/>
        </w:rPr>
        <w:br w:type="textWrapping"/>
      </w:r>
      <w:r>
        <w:rPr>
          <w:rFonts w:hint="default" w:ascii="Arial" w:hAnsi="Arial" w:eastAsia="宋体" w:cs="Arial"/>
          <w:i w:val="0"/>
          <w:iCs w:val="0"/>
          <w:caps w:val="0"/>
          <w:color w:val="222222"/>
          <w:spacing w:val="0"/>
          <w:kern w:val="0"/>
          <w:sz w:val="30"/>
          <w:szCs w:val="30"/>
          <w:lang w:val="en-US" w:eastAsia="zh-CN" w:bidi="ar"/>
        </w:rPr>
        <w:t>五、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w:t>
      </w:r>
      <w:r>
        <w:rPr>
          <w:rFonts w:hint="default" w:ascii="Arial" w:hAnsi="Arial" w:eastAsia="宋体" w:cs="Arial"/>
          <w:i w:val="0"/>
          <w:iCs w:val="0"/>
          <w:caps w:val="0"/>
          <w:color w:val="222222"/>
          <w:spacing w:val="0"/>
          <w:kern w:val="0"/>
          <w:sz w:val="30"/>
          <w:szCs w:val="30"/>
          <w:lang w:val="en-US" w:eastAsia="zh-CN" w:bidi="ar"/>
        </w:rPr>
        <w:br w:type="textWrapping"/>
      </w:r>
      <w:r>
        <w:rPr>
          <w:rFonts w:hint="default" w:ascii="Arial" w:hAnsi="Arial" w:eastAsia="宋体" w:cs="Arial"/>
          <w:i w:val="0"/>
          <w:iCs w:val="0"/>
          <w:caps w:val="0"/>
          <w:color w:val="222222"/>
          <w:spacing w:val="0"/>
          <w:kern w:val="0"/>
          <w:sz w:val="30"/>
          <w:szCs w:val="30"/>
          <w:lang w:val="en-US" w:eastAsia="zh-CN" w:bidi="ar"/>
        </w:rPr>
        <w:t>六、年初结转和结余：指以前年度尚未完成、结转到本年 按有关规定继续使用的资金。</w:t>
      </w:r>
      <w:r>
        <w:rPr>
          <w:rFonts w:hint="default" w:ascii="Arial" w:hAnsi="Arial" w:eastAsia="宋体" w:cs="Arial"/>
          <w:i w:val="0"/>
          <w:iCs w:val="0"/>
          <w:caps w:val="0"/>
          <w:color w:val="222222"/>
          <w:spacing w:val="0"/>
          <w:kern w:val="0"/>
          <w:sz w:val="30"/>
          <w:szCs w:val="30"/>
          <w:lang w:val="en-US" w:eastAsia="zh-CN" w:bidi="ar"/>
        </w:rPr>
        <w:br w:type="textWrapping"/>
      </w:r>
      <w:r>
        <w:rPr>
          <w:rFonts w:hint="default" w:ascii="Arial" w:hAnsi="Arial" w:eastAsia="宋体" w:cs="Arial"/>
          <w:i w:val="0"/>
          <w:iCs w:val="0"/>
          <w:caps w:val="0"/>
          <w:color w:val="222222"/>
          <w:spacing w:val="0"/>
          <w:kern w:val="0"/>
          <w:sz w:val="30"/>
          <w:szCs w:val="30"/>
          <w:lang w:val="en-US" w:eastAsia="zh-CN" w:bidi="ar"/>
        </w:rPr>
        <w:t>七、结余分配：指事业单位按规定提取的职工福利基金、事业基金和缴纳的所得税，以及建设单位按规定应交回的基本建设竣工项目结余资金。</w:t>
      </w:r>
      <w:r>
        <w:rPr>
          <w:rFonts w:hint="default" w:ascii="Arial" w:hAnsi="Arial" w:eastAsia="宋体" w:cs="Arial"/>
          <w:i w:val="0"/>
          <w:iCs w:val="0"/>
          <w:caps w:val="0"/>
          <w:color w:val="222222"/>
          <w:spacing w:val="0"/>
          <w:kern w:val="0"/>
          <w:sz w:val="30"/>
          <w:szCs w:val="30"/>
          <w:lang w:val="en-US" w:eastAsia="zh-CN" w:bidi="ar"/>
        </w:rPr>
        <w:br w:type="textWrapping"/>
      </w:r>
      <w:r>
        <w:rPr>
          <w:rFonts w:hint="default" w:ascii="Arial" w:hAnsi="Arial" w:eastAsia="宋体" w:cs="Arial"/>
          <w:i w:val="0"/>
          <w:iCs w:val="0"/>
          <w:caps w:val="0"/>
          <w:color w:val="222222"/>
          <w:spacing w:val="0"/>
          <w:kern w:val="0"/>
          <w:sz w:val="30"/>
          <w:szCs w:val="30"/>
          <w:lang w:val="en-US" w:eastAsia="zh-CN" w:bidi="ar"/>
        </w:rPr>
        <w:t>八、年末结转和结余：指本年度或以前年度预算安排、因客观条件发生变化无法按原计划实施，需要延迟到以后年度按有关规定继续使用的资金。</w:t>
      </w:r>
      <w:r>
        <w:rPr>
          <w:rFonts w:hint="default" w:ascii="Arial" w:hAnsi="Arial" w:eastAsia="宋体" w:cs="Arial"/>
          <w:i w:val="0"/>
          <w:iCs w:val="0"/>
          <w:caps w:val="0"/>
          <w:color w:val="222222"/>
          <w:spacing w:val="0"/>
          <w:kern w:val="0"/>
          <w:sz w:val="30"/>
          <w:szCs w:val="30"/>
          <w:lang w:val="en-US" w:eastAsia="zh-CN" w:bidi="ar"/>
        </w:rPr>
        <w:br w:type="textWrapping"/>
      </w:r>
      <w:r>
        <w:rPr>
          <w:rFonts w:hint="default" w:ascii="Arial" w:hAnsi="Arial" w:eastAsia="宋体" w:cs="Arial"/>
          <w:i w:val="0"/>
          <w:iCs w:val="0"/>
          <w:caps w:val="0"/>
          <w:color w:val="222222"/>
          <w:spacing w:val="0"/>
          <w:kern w:val="0"/>
          <w:sz w:val="30"/>
          <w:szCs w:val="30"/>
          <w:lang w:val="en-US" w:eastAsia="zh-CN" w:bidi="ar"/>
        </w:rPr>
        <w:t>九、基本支出：指为保障机构正常运转、完成日常工作任务而发生的人员支出和公用支出。</w:t>
      </w:r>
      <w:r>
        <w:rPr>
          <w:rFonts w:hint="default" w:ascii="Arial" w:hAnsi="Arial" w:eastAsia="宋体" w:cs="Arial"/>
          <w:i w:val="0"/>
          <w:iCs w:val="0"/>
          <w:caps w:val="0"/>
          <w:color w:val="222222"/>
          <w:spacing w:val="0"/>
          <w:kern w:val="0"/>
          <w:sz w:val="30"/>
          <w:szCs w:val="30"/>
          <w:lang w:val="en-US" w:eastAsia="zh-CN" w:bidi="ar"/>
        </w:rPr>
        <w:br w:type="textWrapping"/>
      </w:r>
      <w:r>
        <w:rPr>
          <w:rFonts w:hint="default" w:ascii="Arial" w:hAnsi="Arial" w:eastAsia="宋体" w:cs="Arial"/>
          <w:i w:val="0"/>
          <w:iCs w:val="0"/>
          <w:caps w:val="0"/>
          <w:color w:val="222222"/>
          <w:spacing w:val="0"/>
          <w:kern w:val="0"/>
          <w:sz w:val="30"/>
          <w:szCs w:val="30"/>
          <w:lang w:val="en-US" w:eastAsia="zh-CN" w:bidi="ar"/>
        </w:rPr>
        <w:t>十、项目支出：指在基本支出之外为完成特定行政任务和事业发展目标所发生的支出。</w:t>
      </w:r>
      <w:r>
        <w:rPr>
          <w:rFonts w:hint="default" w:ascii="Arial" w:hAnsi="Arial" w:eastAsia="宋体" w:cs="Arial"/>
          <w:i w:val="0"/>
          <w:iCs w:val="0"/>
          <w:caps w:val="0"/>
          <w:color w:val="222222"/>
          <w:spacing w:val="0"/>
          <w:kern w:val="0"/>
          <w:sz w:val="30"/>
          <w:szCs w:val="30"/>
          <w:lang w:val="en-US" w:eastAsia="zh-CN" w:bidi="ar"/>
        </w:rPr>
        <w:br w:type="textWrapping"/>
      </w:r>
      <w:r>
        <w:rPr>
          <w:rFonts w:hint="default" w:ascii="Arial" w:hAnsi="Arial" w:eastAsia="宋体" w:cs="Arial"/>
          <w:i w:val="0"/>
          <w:iCs w:val="0"/>
          <w:caps w:val="0"/>
          <w:color w:val="222222"/>
          <w:spacing w:val="0"/>
          <w:kern w:val="0"/>
          <w:sz w:val="30"/>
          <w:szCs w:val="30"/>
          <w:lang w:val="en-US" w:eastAsia="zh-CN" w:bidi="ar"/>
        </w:rPr>
        <w:t>十一、经营支出：指事业单位在专业业务活动及其辅助活动之外开展非独立核算经营活动发生的支出。</w:t>
      </w:r>
      <w:r>
        <w:rPr>
          <w:rFonts w:hint="default" w:ascii="Arial" w:hAnsi="Arial" w:eastAsia="宋体" w:cs="Arial"/>
          <w:i w:val="0"/>
          <w:iCs w:val="0"/>
          <w:caps w:val="0"/>
          <w:color w:val="222222"/>
          <w:spacing w:val="0"/>
          <w:kern w:val="0"/>
          <w:sz w:val="30"/>
          <w:szCs w:val="30"/>
          <w:lang w:val="en-US" w:eastAsia="zh-CN" w:bidi="ar"/>
        </w:rPr>
        <w:br w:type="textWrapping"/>
      </w:r>
      <w:r>
        <w:rPr>
          <w:rFonts w:hint="default" w:ascii="Arial" w:hAnsi="Arial" w:eastAsia="宋体" w:cs="Arial"/>
          <w:i w:val="0"/>
          <w:iCs w:val="0"/>
          <w:caps w:val="0"/>
          <w:color w:val="222222"/>
          <w:spacing w:val="0"/>
          <w:kern w:val="0"/>
          <w:sz w:val="30"/>
          <w:szCs w:val="30"/>
          <w:lang w:val="en-US" w:eastAsia="zh-CN" w:bidi="ar"/>
        </w:rPr>
        <w:t>十二、“三公”经费：纳入财政预决算管理的“三公”经费，是指各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r>
        <w:rPr>
          <w:rFonts w:hint="default" w:ascii="Arial" w:hAnsi="Arial" w:eastAsia="宋体" w:cs="Arial"/>
          <w:i w:val="0"/>
          <w:iCs w:val="0"/>
          <w:caps w:val="0"/>
          <w:color w:val="222222"/>
          <w:spacing w:val="0"/>
          <w:kern w:val="0"/>
          <w:sz w:val="30"/>
          <w:szCs w:val="30"/>
          <w:lang w:val="en-US" w:eastAsia="zh-CN" w:bidi="ar"/>
        </w:rPr>
        <w:br w:type="textWrapping"/>
      </w:r>
      <w:r>
        <w:rPr>
          <w:rFonts w:hint="default" w:ascii="Arial" w:hAnsi="Arial" w:eastAsia="宋体" w:cs="Arial"/>
          <w:i w:val="0"/>
          <w:iCs w:val="0"/>
          <w:caps w:val="0"/>
          <w:color w:val="222222"/>
          <w:spacing w:val="0"/>
          <w:kern w:val="0"/>
          <w:sz w:val="30"/>
          <w:szCs w:val="30"/>
          <w:lang w:val="en-US" w:eastAsia="zh-CN" w:bidi="ar"/>
        </w:rPr>
        <w:t>十三、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  </w:t>
      </w:r>
    </w:p>
    <w:p w14:paraId="0844D25B">
      <w:pPr>
        <w:pStyle w:val="3"/>
        <w:keepNext w:val="0"/>
        <w:keepLines w:val="0"/>
        <w:widowControl/>
        <w:suppressLineNumbers w:val="0"/>
        <w:ind w:left="0" w:firstLine="0"/>
        <w:rPr>
          <w:rFonts w:hint="default" w:ascii="Arial" w:hAnsi="Arial" w:cs="Arial"/>
          <w:i w:val="0"/>
          <w:iCs w:val="0"/>
          <w:caps w:val="0"/>
          <w:color w:val="222222"/>
          <w:spacing w:val="0"/>
        </w:rPr>
      </w:pPr>
    </w:p>
    <w:p w14:paraId="28E8E340">
      <w:pPr>
        <w:pStyle w:val="3"/>
        <w:keepNext w:val="0"/>
        <w:keepLines w:val="0"/>
        <w:widowControl/>
        <w:suppressLineNumbers w:val="0"/>
        <w:ind w:left="0" w:firstLine="0"/>
        <w:rPr>
          <w:rFonts w:hint="default" w:ascii="Arial" w:hAnsi="Arial" w:cs="Arial"/>
          <w:i w:val="0"/>
          <w:iCs w:val="0"/>
          <w:caps w:val="0"/>
          <w:color w:val="222222"/>
          <w:spacing w:val="0"/>
        </w:rPr>
      </w:pPr>
    </w:p>
    <w:p w14:paraId="0D8B4D52">
      <w:pPr>
        <w:pStyle w:val="3"/>
        <w:keepNext w:val="0"/>
        <w:keepLines w:val="0"/>
        <w:widowControl/>
        <w:suppressLineNumbers w:val="0"/>
        <w:ind w:left="0" w:firstLine="0"/>
        <w:rPr>
          <w:rFonts w:hint="default" w:ascii="Arial" w:hAnsi="Arial" w:cs="Arial"/>
          <w:i w:val="0"/>
          <w:iCs w:val="0"/>
          <w:caps w:val="0"/>
          <w:color w:val="222222"/>
          <w:spacing w:val="0"/>
        </w:rPr>
      </w:pPr>
      <w:r>
        <w:rPr>
          <w:rFonts w:hint="default" w:ascii="Arial" w:hAnsi="Arial" w:cs="Arial"/>
          <w:i w:val="0"/>
          <w:iCs w:val="0"/>
          <w:caps w:val="0"/>
          <w:color w:val="222222"/>
          <w:spacing w:val="0"/>
        </w:rPr>
        <w:t>六、部门2021年部门决算表</w:t>
      </w:r>
    </w:p>
    <w:p w14:paraId="2180C56C">
      <w:pPr>
        <w:rPr>
          <w:rFonts w:hint="eastAsia" w:ascii="Arial" w:hAnsi="Arial" w:cs="Arial" w:eastAsiaTheme="minorEastAsia"/>
          <w:i w:val="0"/>
          <w:iCs w:val="0"/>
          <w:caps w:val="0"/>
          <w:color w:val="222222"/>
          <w:spacing w:val="0"/>
          <w:lang w:eastAsia="zh-CN"/>
        </w:rPr>
      </w:pPr>
      <w:r>
        <w:rPr>
          <w:rFonts w:hint="eastAsia" w:ascii="Arial" w:hAnsi="Arial" w:cs="Arial" w:eastAsiaTheme="minorEastAsia"/>
          <w:i w:val="0"/>
          <w:iCs w:val="0"/>
          <w:caps w:val="0"/>
          <w:color w:val="222222"/>
          <w:spacing w:val="0"/>
          <w:lang w:eastAsia="zh-CN"/>
        </w:rPr>
        <w:drawing>
          <wp:inline distT="0" distB="0" distL="114300" distR="114300">
            <wp:extent cx="5273675" cy="4293870"/>
            <wp:effectExtent l="0" t="0" r="9525" b="11430"/>
            <wp:docPr id="1" name="图片 1" descr="公开表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开表1"/>
                    <pic:cNvPicPr>
                      <a:picLocks noChangeAspect="1"/>
                    </pic:cNvPicPr>
                  </pic:nvPicPr>
                  <pic:blipFill>
                    <a:blip r:embed="rId12"/>
                    <a:stretch>
                      <a:fillRect/>
                    </a:stretch>
                  </pic:blipFill>
                  <pic:spPr>
                    <a:xfrm>
                      <a:off x="0" y="0"/>
                      <a:ext cx="5273675" cy="4293870"/>
                    </a:xfrm>
                    <a:prstGeom prst="rect">
                      <a:avLst/>
                    </a:prstGeom>
                  </pic:spPr>
                </pic:pic>
              </a:graphicData>
            </a:graphic>
          </wp:inline>
        </w:drawing>
      </w:r>
    </w:p>
    <w:p w14:paraId="46AD983C">
      <w:pPr>
        <w:rPr>
          <w:rFonts w:hint="eastAsia" w:ascii="Arial" w:hAnsi="Arial" w:cs="Arial" w:eastAsiaTheme="minorEastAsia"/>
          <w:i w:val="0"/>
          <w:iCs w:val="0"/>
          <w:caps w:val="0"/>
          <w:color w:val="222222"/>
          <w:spacing w:val="0"/>
          <w:lang w:eastAsia="zh-CN"/>
        </w:rPr>
      </w:pPr>
    </w:p>
    <w:p w14:paraId="7BC82DDF">
      <w:pPr>
        <w:rPr>
          <w:rFonts w:ascii="Arial" w:hAnsi="Arial" w:eastAsia="宋体" w:cs="Arial"/>
          <w:i w:val="0"/>
          <w:iCs w:val="0"/>
          <w:caps w:val="0"/>
          <w:color w:val="222222"/>
          <w:spacing w:val="0"/>
          <w:sz w:val="12"/>
          <w:szCs w:val="12"/>
        </w:rPr>
      </w:pPr>
    </w:p>
    <w:p w14:paraId="3F7F7E97">
      <w:pPr>
        <w:rPr>
          <w:rFonts w:hint="eastAsia" w:ascii="Arial" w:hAnsi="Arial" w:eastAsia="宋体" w:cs="Arial"/>
          <w:i w:val="0"/>
          <w:iCs w:val="0"/>
          <w:caps w:val="0"/>
          <w:color w:val="222222"/>
          <w:spacing w:val="0"/>
          <w:sz w:val="12"/>
          <w:szCs w:val="12"/>
          <w:lang w:eastAsia="zh-CN"/>
        </w:rPr>
      </w:pPr>
      <w:r>
        <w:rPr>
          <w:rFonts w:hint="eastAsia" w:ascii="Arial" w:hAnsi="Arial" w:eastAsia="宋体" w:cs="Arial"/>
          <w:i w:val="0"/>
          <w:iCs w:val="0"/>
          <w:caps w:val="0"/>
          <w:color w:val="222222"/>
          <w:spacing w:val="0"/>
          <w:sz w:val="12"/>
          <w:szCs w:val="12"/>
          <w:lang w:eastAsia="zh-CN"/>
        </w:rPr>
        <w:drawing>
          <wp:inline distT="0" distB="0" distL="114300" distR="114300">
            <wp:extent cx="5266690" cy="2383155"/>
            <wp:effectExtent l="0" t="0" r="3810" b="4445"/>
            <wp:docPr id="2" name="图片 2" descr="公开表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公开表2"/>
                    <pic:cNvPicPr>
                      <a:picLocks noChangeAspect="1"/>
                    </pic:cNvPicPr>
                  </pic:nvPicPr>
                  <pic:blipFill>
                    <a:blip r:embed="rId13"/>
                    <a:stretch>
                      <a:fillRect/>
                    </a:stretch>
                  </pic:blipFill>
                  <pic:spPr>
                    <a:xfrm>
                      <a:off x="0" y="0"/>
                      <a:ext cx="5266690" cy="2383155"/>
                    </a:xfrm>
                    <a:prstGeom prst="rect">
                      <a:avLst/>
                    </a:prstGeom>
                  </pic:spPr>
                </pic:pic>
              </a:graphicData>
            </a:graphic>
          </wp:inline>
        </w:drawing>
      </w:r>
    </w:p>
    <w:p w14:paraId="463D7C86">
      <w:pPr>
        <w:rPr>
          <w:rFonts w:hint="eastAsia" w:ascii="Arial" w:hAnsi="Arial" w:eastAsia="宋体" w:cs="Arial"/>
          <w:i w:val="0"/>
          <w:iCs w:val="0"/>
          <w:caps w:val="0"/>
          <w:color w:val="222222"/>
          <w:spacing w:val="0"/>
          <w:sz w:val="12"/>
          <w:szCs w:val="12"/>
          <w:lang w:eastAsia="zh-CN"/>
        </w:rPr>
      </w:pPr>
    </w:p>
    <w:p w14:paraId="1BC5F3C2">
      <w:pPr>
        <w:rPr>
          <w:rFonts w:ascii="Arial" w:hAnsi="Arial" w:eastAsia="宋体" w:cs="Arial"/>
          <w:i w:val="0"/>
          <w:iCs w:val="0"/>
          <w:caps w:val="0"/>
          <w:color w:val="222222"/>
          <w:spacing w:val="0"/>
          <w:sz w:val="12"/>
          <w:szCs w:val="12"/>
        </w:rPr>
      </w:pPr>
    </w:p>
    <w:p w14:paraId="425E97C3">
      <w:pPr>
        <w:rPr>
          <w:rFonts w:hint="eastAsia" w:ascii="Arial" w:hAnsi="Arial" w:eastAsia="宋体" w:cs="Arial"/>
          <w:i w:val="0"/>
          <w:iCs w:val="0"/>
          <w:caps w:val="0"/>
          <w:color w:val="222222"/>
          <w:spacing w:val="0"/>
          <w:sz w:val="12"/>
          <w:szCs w:val="12"/>
          <w:lang w:eastAsia="zh-CN"/>
        </w:rPr>
      </w:pPr>
      <w:r>
        <w:rPr>
          <w:rFonts w:hint="eastAsia" w:ascii="Arial" w:hAnsi="Arial" w:eastAsia="宋体" w:cs="Arial"/>
          <w:i w:val="0"/>
          <w:iCs w:val="0"/>
          <w:caps w:val="0"/>
          <w:color w:val="222222"/>
          <w:spacing w:val="0"/>
          <w:sz w:val="12"/>
          <w:szCs w:val="12"/>
          <w:lang w:eastAsia="zh-CN"/>
        </w:rPr>
        <w:drawing>
          <wp:inline distT="0" distB="0" distL="114300" distR="114300">
            <wp:extent cx="5262245" cy="2621280"/>
            <wp:effectExtent l="0" t="0" r="8255" b="7620"/>
            <wp:docPr id="3" name="图片 3" descr="公开表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公开表3"/>
                    <pic:cNvPicPr>
                      <a:picLocks noChangeAspect="1"/>
                    </pic:cNvPicPr>
                  </pic:nvPicPr>
                  <pic:blipFill>
                    <a:blip r:embed="rId14"/>
                    <a:stretch>
                      <a:fillRect/>
                    </a:stretch>
                  </pic:blipFill>
                  <pic:spPr>
                    <a:xfrm>
                      <a:off x="0" y="0"/>
                      <a:ext cx="5262245" cy="2621280"/>
                    </a:xfrm>
                    <a:prstGeom prst="rect">
                      <a:avLst/>
                    </a:prstGeom>
                  </pic:spPr>
                </pic:pic>
              </a:graphicData>
            </a:graphic>
          </wp:inline>
        </w:drawing>
      </w:r>
    </w:p>
    <w:p w14:paraId="5026F8CC">
      <w:pPr>
        <w:rPr>
          <w:rFonts w:hint="eastAsia" w:ascii="Arial" w:hAnsi="Arial" w:eastAsia="宋体" w:cs="Arial"/>
          <w:i w:val="0"/>
          <w:iCs w:val="0"/>
          <w:caps w:val="0"/>
          <w:color w:val="222222"/>
          <w:spacing w:val="0"/>
          <w:sz w:val="12"/>
          <w:szCs w:val="12"/>
          <w:lang w:eastAsia="zh-CN"/>
        </w:rPr>
      </w:pPr>
    </w:p>
    <w:p w14:paraId="16BE77FD">
      <w:pPr>
        <w:rPr>
          <w:rFonts w:hint="eastAsia" w:ascii="Arial" w:hAnsi="Arial" w:eastAsia="宋体" w:cs="Arial"/>
          <w:i w:val="0"/>
          <w:iCs w:val="0"/>
          <w:caps w:val="0"/>
          <w:color w:val="222222"/>
          <w:spacing w:val="0"/>
          <w:sz w:val="12"/>
          <w:szCs w:val="12"/>
          <w:lang w:eastAsia="zh-CN"/>
        </w:rPr>
      </w:pPr>
      <w:r>
        <w:rPr>
          <w:rFonts w:hint="eastAsia" w:ascii="Arial" w:hAnsi="Arial" w:eastAsia="宋体" w:cs="Arial"/>
          <w:i w:val="0"/>
          <w:iCs w:val="0"/>
          <w:caps w:val="0"/>
          <w:color w:val="222222"/>
          <w:spacing w:val="0"/>
          <w:sz w:val="12"/>
          <w:szCs w:val="12"/>
          <w:lang w:eastAsia="zh-CN"/>
        </w:rPr>
        <w:drawing>
          <wp:inline distT="0" distB="0" distL="114300" distR="114300">
            <wp:extent cx="5264150" cy="3783965"/>
            <wp:effectExtent l="0" t="0" r="6350" b="635"/>
            <wp:docPr id="4" name="图片 4" descr="公开表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公开表4"/>
                    <pic:cNvPicPr>
                      <a:picLocks noChangeAspect="1"/>
                    </pic:cNvPicPr>
                  </pic:nvPicPr>
                  <pic:blipFill>
                    <a:blip r:embed="rId15"/>
                    <a:stretch>
                      <a:fillRect/>
                    </a:stretch>
                  </pic:blipFill>
                  <pic:spPr>
                    <a:xfrm>
                      <a:off x="0" y="0"/>
                      <a:ext cx="5264150" cy="3783965"/>
                    </a:xfrm>
                    <a:prstGeom prst="rect">
                      <a:avLst/>
                    </a:prstGeom>
                  </pic:spPr>
                </pic:pic>
              </a:graphicData>
            </a:graphic>
          </wp:inline>
        </w:drawing>
      </w:r>
    </w:p>
    <w:p w14:paraId="1CDF047F">
      <w:pPr>
        <w:rPr>
          <w:rFonts w:hint="eastAsia" w:ascii="Arial" w:hAnsi="Arial" w:eastAsia="宋体" w:cs="Arial"/>
          <w:i w:val="0"/>
          <w:iCs w:val="0"/>
          <w:caps w:val="0"/>
          <w:color w:val="222222"/>
          <w:spacing w:val="0"/>
          <w:sz w:val="12"/>
          <w:szCs w:val="12"/>
          <w:lang w:eastAsia="zh-CN"/>
        </w:rPr>
      </w:pPr>
    </w:p>
    <w:p w14:paraId="32CC5005">
      <w:pPr>
        <w:rPr>
          <w:rFonts w:hint="eastAsia" w:ascii="Arial" w:hAnsi="Arial" w:eastAsia="宋体" w:cs="Arial"/>
          <w:i w:val="0"/>
          <w:iCs w:val="0"/>
          <w:caps w:val="0"/>
          <w:color w:val="222222"/>
          <w:spacing w:val="0"/>
          <w:sz w:val="12"/>
          <w:szCs w:val="12"/>
          <w:lang w:eastAsia="zh-CN"/>
        </w:rPr>
      </w:pPr>
      <w:r>
        <w:rPr>
          <w:rFonts w:hint="eastAsia" w:ascii="Arial" w:hAnsi="Arial" w:eastAsia="宋体" w:cs="Arial"/>
          <w:i w:val="0"/>
          <w:iCs w:val="0"/>
          <w:caps w:val="0"/>
          <w:color w:val="222222"/>
          <w:spacing w:val="0"/>
          <w:sz w:val="12"/>
          <w:szCs w:val="12"/>
          <w:lang w:eastAsia="zh-CN"/>
        </w:rPr>
        <w:drawing>
          <wp:inline distT="0" distB="0" distL="114300" distR="114300">
            <wp:extent cx="5266690" cy="3784600"/>
            <wp:effectExtent l="0" t="0" r="3810" b="0"/>
            <wp:docPr id="5" name="图片 5" descr="公开表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公开表5"/>
                    <pic:cNvPicPr>
                      <a:picLocks noChangeAspect="1"/>
                    </pic:cNvPicPr>
                  </pic:nvPicPr>
                  <pic:blipFill>
                    <a:blip r:embed="rId16"/>
                    <a:stretch>
                      <a:fillRect/>
                    </a:stretch>
                  </pic:blipFill>
                  <pic:spPr>
                    <a:xfrm>
                      <a:off x="0" y="0"/>
                      <a:ext cx="5266690" cy="3784600"/>
                    </a:xfrm>
                    <a:prstGeom prst="rect">
                      <a:avLst/>
                    </a:prstGeom>
                  </pic:spPr>
                </pic:pic>
              </a:graphicData>
            </a:graphic>
          </wp:inline>
        </w:drawing>
      </w:r>
    </w:p>
    <w:p w14:paraId="16F95510">
      <w:pPr>
        <w:rPr>
          <w:rFonts w:hint="eastAsia" w:ascii="Arial" w:hAnsi="Arial" w:eastAsia="宋体" w:cs="Arial"/>
          <w:i w:val="0"/>
          <w:iCs w:val="0"/>
          <w:caps w:val="0"/>
          <w:color w:val="222222"/>
          <w:spacing w:val="0"/>
          <w:sz w:val="12"/>
          <w:szCs w:val="12"/>
          <w:lang w:eastAsia="zh-CN"/>
        </w:rPr>
      </w:pPr>
    </w:p>
    <w:p w14:paraId="3903521A">
      <w:pPr>
        <w:rPr>
          <w:rFonts w:hint="eastAsia" w:ascii="Arial" w:hAnsi="Arial" w:eastAsia="宋体" w:cs="Arial"/>
          <w:i w:val="0"/>
          <w:iCs w:val="0"/>
          <w:caps w:val="0"/>
          <w:color w:val="222222"/>
          <w:spacing w:val="0"/>
          <w:sz w:val="12"/>
          <w:szCs w:val="12"/>
          <w:lang w:eastAsia="zh-CN"/>
        </w:rPr>
      </w:pPr>
      <w:r>
        <w:rPr>
          <w:rFonts w:hint="eastAsia" w:ascii="Arial" w:hAnsi="Arial" w:eastAsia="宋体" w:cs="Arial"/>
          <w:i w:val="0"/>
          <w:iCs w:val="0"/>
          <w:caps w:val="0"/>
          <w:color w:val="222222"/>
          <w:spacing w:val="0"/>
          <w:sz w:val="12"/>
          <w:szCs w:val="12"/>
          <w:lang w:eastAsia="zh-CN"/>
        </w:rPr>
        <w:drawing>
          <wp:inline distT="0" distB="0" distL="114300" distR="114300">
            <wp:extent cx="5273675" cy="3036570"/>
            <wp:effectExtent l="0" t="0" r="9525" b="11430"/>
            <wp:docPr id="6" name="图片 6" descr="公开表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公开表6"/>
                    <pic:cNvPicPr>
                      <a:picLocks noChangeAspect="1"/>
                    </pic:cNvPicPr>
                  </pic:nvPicPr>
                  <pic:blipFill>
                    <a:blip r:embed="rId17"/>
                    <a:stretch>
                      <a:fillRect/>
                    </a:stretch>
                  </pic:blipFill>
                  <pic:spPr>
                    <a:xfrm>
                      <a:off x="0" y="0"/>
                      <a:ext cx="5273675" cy="3036570"/>
                    </a:xfrm>
                    <a:prstGeom prst="rect">
                      <a:avLst/>
                    </a:prstGeom>
                  </pic:spPr>
                </pic:pic>
              </a:graphicData>
            </a:graphic>
          </wp:inline>
        </w:drawing>
      </w:r>
    </w:p>
    <w:p w14:paraId="0C6068D1">
      <w:pPr>
        <w:rPr>
          <w:rFonts w:hint="eastAsia" w:ascii="Arial" w:hAnsi="Arial" w:eastAsia="宋体" w:cs="Arial"/>
          <w:i w:val="0"/>
          <w:iCs w:val="0"/>
          <w:caps w:val="0"/>
          <w:color w:val="222222"/>
          <w:spacing w:val="0"/>
          <w:sz w:val="12"/>
          <w:szCs w:val="12"/>
          <w:lang w:eastAsia="zh-CN"/>
        </w:rPr>
      </w:pPr>
      <w:r>
        <w:rPr>
          <w:rFonts w:hint="eastAsia" w:ascii="Arial" w:hAnsi="Arial" w:eastAsia="宋体" w:cs="Arial"/>
          <w:i w:val="0"/>
          <w:iCs w:val="0"/>
          <w:caps w:val="0"/>
          <w:color w:val="222222"/>
          <w:spacing w:val="0"/>
          <w:sz w:val="12"/>
          <w:szCs w:val="12"/>
          <w:lang w:eastAsia="zh-CN"/>
        </w:rPr>
        <w:drawing>
          <wp:inline distT="0" distB="0" distL="114300" distR="114300">
            <wp:extent cx="5273040" cy="1039495"/>
            <wp:effectExtent l="0" t="0" r="10160" b="1905"/>
            <wp:docPr id="7" name="图片 7" descr="公开表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公开表7"/>
                    <pic:cNvPicPr>
                      <a:picLocks noChangeAspect="1"/>
                    </pic:cNvPicPr>
                  </pic:nvPicPr>
                  <pic:blipFill>
                    <a:blip r:embed="rId18"/>
                    <a:stretch>
                      <a:fillRect/>
                    </a:stretch>
                  </pic:blipFill>
                  <pic:spPr>
                    <a:xfrm>
                      <a:off x="0" y="0"/>
                      <a:ext cx="5273040" cy="1039495"/>
                    </a:xfrm>
                    <a:prstGeom prst="rect">
                      <a:avLst/>
                    </a:prstGeom>
                  </pic:spPr>
                </pic:pic>
              </a:graphicData>
            </a:graphic>
          </wp:inline>
        </w:drawing>
      </w:r>
    </w:p>
    <w:p w14:paraId="43664C62">
      <w:pPr>
        <w:rPr>
          <w:rFonts w:hint="eastAsia" w:ascii="Arial" w:hAnsi="Arial" w:eastAsia="宋体" w:cs="Arial"/>
          <w:i w:val="0"/>
          <w:iCs w:val="0"/>
          <w:caps w:val="0"/>
          <w:color w:val="222222"/>
          <w:spacing w:val="0"/>
          <w:sz w:val="12"/>
          <w:szCs w:val="12"/>
          <w:lang w:eastAsia="zh-CN"/>
        </w:rPr>
      </w:pPr>
    </w:p>
    <w:p w14:paraId="44559CA6">
      <w:pPr>
        <w:rPr>
          <w:rFonts w:hint="eastAsia" w:ascii="Arial" w:hAnsi="Arial" w:eastAsia="宋体" w:cs="Arial"/>
          <w:i w:val="0"/>
          <w:iCs w:val="0"/>
          <w:caps w:val="0"/>
          <w:color w:val="222222"/>
          <w:spacing w:val="0"/>
          <w:sz w:val="12"/>
          <w:szCs w:val="12"/>
          <w:lang w:eastAsia="zh-CN"/>
        </w:rPr>
      </w:pPr>
    </w:p>
    <w:p w14:paraId="76062A3A">
      <w:pPr>
        <w:rPr>
          <w:rFonts w:hint="eastAsia" w:ascii="Arial" w:hAnsi="Arial" w:eastAsia="宋体" w:cs="Arial"/>
          <w:i w:val="0"/>
          <w:iCs w:val="0"/>
          <w:caps w:val="0"/>
          <w:color w:val="222222"/>
          <w:spacing w:val="0"/>
          <w:sz w:val="12"/>
          <w:szCs w:val="12"/>
          <w:lang w:eastAsia="zh-CN"/>
        </w:rPr>
      </w:pPr>
      <w:r>
        <w:rPr>
          <w:rFonts w:hint="eastAsia" w:ascii="Arial" w:hAnsi="Arial" w:eastAsia="宋体" w:cs="Arial"/>
          <w:i w:val="0"/>
          <w:iCs w:val="0"/>
          <w:caps w:val="0"/>
          <w:color w:val="222222"/>
          <w:spacing w:val="0"/>
          <w:sz w:val="12"/>
          <w:szCs w:val="12"/>
          <w:lang w:eastAsia="zh-CN"/>
        </w:rPr>
        <w:drawing>
          <wp:inline distT="0" distB="0" distL="114300" distR="114300">
            <wp:extent cx="5267325" cy="1253490"/>
            <wp:effectExtent l="0" t="0" r="3175" b="3810"/>
            <wp:docPr id="8" name="图片 8" descr="`BO@JHO0SMZTB75UNTF$K[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BO@JHO0SMZTB75UNTF$K[R"/>
                    <pic:cNvPicPr>
                      <a:picLocks noChangeAspect="1"/>
                    </pic:cNvPicPr>
                  </pic:nvPicPr>
                  <pic:blipFill>
                    <a:blip r:embed="rId19"/>
                    <a:stretch>
                      <a:fillRect/>
                    </a:stretch>
                  </pic:blipFill>
                  <pic:spPr>
                    <a:xfrm>
                      <a:off x="0" y="0"/>
                      <a:ext cx="5267325" cy="1253490"/>
                    </a:xfrm>
                    <a:prstGeom prst="rect">
                      <a:avLst/>
                    </a:prstGeom>
                  </pic:spPr>
                </pic:pic>
              </a:graphicData>
            </a:graphic>
          </wp:inline>
        </w:drawing>
      </w:r>
    </w:p>
    <w:p w14:paraId="0526D15A">
      <w:pPr>
        <w:rPr>
          <w:rFonts w:hint="eastAsia" w:ascii="Arial" w:hAnsi="Arial" w:eastAsia="宋体" w:cs="Arial"/>
          <w:i w:val="0"/>
          <w:iCs w:val="0"/>
          <w:caps w:val="0"/>
          <w:color w:val="222222"/>
          <w:spacing w:val="0"/>
          <w:sz w:val="12"/>
          <w:szCs w:val="12"/>
          <w:lang w:eastAsia="zh-CN"/>
        </w:rPr>
      </w:pPr>
      <w:r>
        <w:rPr>
          <w:rFonts w:hint="eastAsia" w:ascii="Arial" w:hAnsi="Arial" w:eastAsia="宋体" w:cs="Arial"/>
          <w:i w:val="0"/>
          <w:iCs w:val="0"/>
          <w:caps w:val="0"/>
          <w:color w:val="222222"/>
          <w:spacing w:val="0"/>
          <w:sz w:val="12"/>
          <w:szCs w:val="12"/>
          <w:lang w:eastAsia="zh-CN"/>
        </w:rPr>
        <w:drawing>
          <wp:inline distT="0" distB="0" distL="114300" distR="114300">
            <wp:extent cx="5270500" cy="1898015"/>
            <wp:effectExtent l="0" t="0" r="0" b="6985"/>
            <wp:docPr id="9" name="图片 9" descr="(@876GM3SQC8NN5X8NVRW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876GM3SQC8NN5X8NVRWLI"/>
                    <pic:cNvPicPr>
                      <a:picLocks noChangeAspect="1"/>
                    </pic:cNvPicPr>
                  </pic:nvPicPr>
                  <pic:blipFill>
                    <a:blip r:embed="rId20"/>
                    <a:stretch>
                      <a:fillRect/>
                    </a:stretch>
                  </pic:blipFill>
                  <pic:spPr>
                    <a:xfrm>
                      <a:off x="0" y="0"/>
                      <a:ext cx="5270500" cy="1898015"/>
                    </a:xfrm>
                    <a:prstGeom prst="rect">
                      <a:avLst/>
                    </a:prstGeom>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国标宋体-超大字符集扩">
    <w:panose1 w:val="000005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79C749">
    <w:pPr>
      <w:spacing w:line="183" w:lineRule="auto"/>
      <w:ind w:left="4335"/>
      <w:rPr>
        <w:rFonts w:ascii="宋体" w:hAnsi="宋体" w:eastAsia="宋体" w:cs="宋体"/>
        <w:sz w:val="13"/>
        <w:szCs w:val="13"/>
      </w:rPr>
    </w:pPr>
    <w:r>
      <w:rPr>
        <w:rFonts w:ascii="宋体" w:hAnsi="宋体" w:eastAsia="宋体" w:cs="宋体"/>
        <w:spacing w:val="-4"/>
        <w:sz w:val="13"/>
        <w:szCs w:val="13"/>
      </w:rPr>
      <w:t>11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59E3A4">
    <w:pPr>
      <w:spacing w:line="183" w:lineRule="auto"/>
      <w:ind w:left="4435"/>
      <w:rPr>
        <w:rFonts w:ascii="宋体" w:hAnsi="宋体" w:eastAsia="宋体" w:cs="宋体"/>
        <w:sz w:val="14"/>
        <w:szCs w:val="14"/>
      </w:rPr>
    </w:pPr>
    <w:r>
      <w:rPr>
        <w:rFonts w:ascii="宋体" w:hAnsi="宋体" w:eastAsia="宋体" w:cs="宋体"/>
        <w:sz w:val="14"/>
        <w:szCs w:val="14"/>
      </w:rPr>
      <w:t>9</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E0650CF"/>
    <w:multiLevelType w:val="singleLevel"/>
    <w:tmpl w:val="CE0650CF"/>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FhZDc3NzVjNmZmODIwMDM2Mzg1MTEyMDNhZmJmMzkifQ=="/>
  </w:docVars>
  <w:rsids>
    <w:rsidRoot w:val="00172A27"/>
    <w:rsid w:val="02193DAF"/>
    <w:rsid w:val="0B446AEB"/>
    <w:rsid w:val="0FD1261B"/>
    <w:rsid w:val="17A163F7"/>
    <w:rsid w:val="184077F2"/>
    <w:rsid w:val="1CDF70FE"/>
    <w:rsid w:val="2348445C"/>
    <w:rsid w:val="3F5F0672"/>
    <w:rsid w:val="3FFF1ADD"/>
    <w:rsid w:val="406C56BF"/>
    <w:rsid w:val="4D0007BD"/>
    <w:rsid w:val="57224768"/>
    <w:rsid w:val="5CFF6DA7"/>
    <w:rsid w:val="641C50CD"/>
    <w:rsid w:val="7311365A"/>
    <w:rsid w:val="789D3564"/>
    <w:rsid w:val="7AFB519F"/>
    <w:rsid w:val="7AFD0D49"/>
    <w:rsid w:val="B2FD401E"/>
    <w:rsid w:val="EFDFF8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5">
    <w:name w:val="heading 6"/>
    <w:basedOn w:val="1"/>
    <w:next w:val="1"/>
    <w:semiHidden/>
    <w:unhideWhenUsed/>
    <w:qFormat/>
    <w:uiPriority w:val="0"/>
    <w:pPr>
      <w:spacing w:before="0" w:beforeAutospacing="1" w:after="0" w:afterAutospacing="1"/>
      <w:jc w:val="left"/>
    </w:pPr>
    <w:rPr>
      <w:rFonts w:hint="eastAsia" w:ascii="宋体" w:hAnsi="宋体" w:eastAsia="宋体" w:cs="宋体"/>
      <w:b/>
      <w:bCs/>
      <w:kern w:val="0"/>
      <w:sz w:val="15"/>
      <w:szCs w:val="15"/>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character" w:styleId="8">
    <w:name w:val="Strong"/>
    <w:basedOn w:val="7"/>
    <w:qFormat/>
    <w:uiPriority w:val="0"/>
    <w:rPr>
      <w:b/>
    </w:rPr>
  </w:style>
  <w:style w:type="table" w:customStyle="1" w:styleId="9">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2.emf"/><Relationship Id="rId8" Type="http://schemas.openxmlformats.org/officeDocument/2006/relationships/oleObject" Target="embeddings/oleObject2.bin"/><Relationship Id="rId7" Type="http://schemas.openxmlformats.org/officeDocument/2006/relationships/image" Target="media/image1.emf"/><Relationship Id="rId6" Type="http://schemas.openxmlformats.org/officeDocument/2006/relationships/oleObject" Target="embeddings/oleObject1.bin"/><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image" Target="media/image12.png"/><Relationship Id="rId2" Type="http://schemas.openxmlformats.org/officeDocument/2006/relationships/settings" Target="settings.xml"/><Relationship Id="rId19" Type="http://schemas.openxmlformats.org/officeDocument/2006/relationships/image" Target="media/image11.png"/><Relationship Id="rId18" Type="http://schemas.openxmlformats.org/officeDocument/2006/relationships/image" Target="media/image10.png"/><Relationship Id="rId17" Type="http://schemas.openxmlformats.org/officeDocument/2006/relationships/image" Target="media/image9.png"/><Relationship Id="rId16" Type="http://schemas.openxmlformats.org/officeDocument/2006/relationships/image" Target="media/image8.png"/><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emf"/><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20</Pages>
  <Words>7100</Words>
  <Characters>7981</Characters>
  <Lines>0</Lines>
  <Paragraphs>0</Paragraphs>
  <TotalTime>3</TotalTime>
  <ScaleCrop>false</ScaleCrop>
  <LinksUpToDate>false</LinksUpToDate>
  <CharactersWithSpaces>8132</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2023-07-21T21:13:00Z</dcterms:created>
  <dc:creator>Admin</dc:creator>
  <cp:lastModifiedBy>xlq</cp:lastModifiedBy>
  <dcterms:modified xsi:type="dcterms:W3CDTF">2026-09-08T14:57:10Z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79A75BF46CA8043CC6B19F6A5EC54FBD_43</vt:lpwstr>
  </property>
</Properties>
</file>