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D69C93">
      <w:pPr>
        <w:keepNext w:val="0"/>
        <w:keepLines w:val="0"/>
        <w:widowControl/>
        <w:suppressLineNumbers w:val="0"/>
        <w:spacing w:before="0" w:beforeAutospacing="1" w:after="0" w:afterAutospacing="1" w:line="560" w:lineRule="atLeast"/>
        <w:ind w:left="0" w:right="0" w:firstLine="0"/>
        <w:jc w:val="center"/>
        <w:rPr>
          <w:rFonts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44"/>
          <w:szCs w:val="44"/>
          <w:lang w:val="en-US" w:eastAsia="zh-CN" w:bidi="ar"/>
        </w:rPr>
        <w:t>目  录</w:t>
      </w:r>
    </w:p>
    <w:p w14:paraId="5206D1D8">
      <w:pPr>
        <w:keepNext w:val="0"/>
        <w:keepLines w:val="0"/>
        <w:widowControl/>
        <w:suppressLineNumbers w:val="0"/>
        <w:spacing w:before="0" w:beforeAutospacing="1" w:after="0" w:afterAutospacing="1" w:line="560" w:lineRule="atLeast"/>
        <w:ind w:left="0" w:right="0" w:firstLine="0"/>
        <w:jc w:val="center"/>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44"/>
          <w:szCs w:val="44"/>
          <w:lang w:val="en-US" w:eastAsia="zh-CN" w:bidi="ar"/>
        </w:rPr>
        <w:t> </w:t>
      </w:r>
    </w:p>
    <w:p w14:paraId="576D204B">
      <w:pPr>
        <w:keepNext w:val="0"/>
        <w:keepLines w:val="0"/>
        <w:widowControl/>
        <w:suppressLineNumbers w:val="0"/>
        <w:spacing w:before="0" w:beforeAutospacing="1" w:after="0" w:afterAutospacing="1" w:line="460" w:lineRule="atLeast"/>
        <w:ind w:left="0" w:right="0" w:firstLine="0"/>
        <w:jc w:val="both"/>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第一部分:部门基本情况</w:t>
      </w:r>
    </w:p>
    <w:p w14:paraId="61860354">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 一、部门主要职责</w:t>
      </w:r>
    </w:p>
    <w:p w14:paraId="53B9D98F">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 二、部门机构设置情况</w:t>
      </w:r>
    </w:p>
    <w:p w14:paraId="05D5669A">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第二部分: 部门2021年部门决算表</w:t>
      </w:r>
    </w:p>
    <w:p w14:paraId="48EBB120">
      <w:pPr>
        <w:keepNext w:val="0"/>
        <w:keepLines w:val="0"/>
        <w:widowControl/>
        <w:numPr>
          <w:ilvl w:val="0"/>
          <w:numId w:val="1"/>
        </w:numPr>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收入支出决算总表                   </w:t>
      </w:r>
    </w:p>
    <w:p w14:paraId="0A5388C8">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二、收入决算表                     </w:t>
      </w:r>
    </w:p>
    <w:p w14:paraId="220C5741">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三、支出决算表                     </w:t>
      </w:r>
    </w:p>
    <w:p w14:paraId="6EAC9455">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四、财政拨款收入支出决算总表       </w:t>
      </w:r>
    </w:p>
    <w:p w14:paraId="29313157">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五、一般公共预算财政拨款支出决算表        </w:t>
      </w:r>
    </w:p>
    <w:p w14:paraId="7EB5DA23">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六、一般公共预算财政拨款基本支出决算表  </w:t>
      </w:r>
    </w:p>
    <w:p w14:paraId="13A23786">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七、一般公共预算财政拨款“三公”经费支出决算表  </w:t>
      </w:r>
    </w:p>
    <w:p w14:paraId="04921585">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八、政府性基金预算财政拨款收入支出决算表     </w:t>
      </w:r>
    </w:p>
    <w:p w14:paraId="560AEEED">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九、国有资本经营预算财政拨款支出决算表</w:t>
      </w:r>
    </w:p>
    <w:p w14:paraId="0809C465">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第三部分：部门2021年部门决算情况说明</w:t>
      </w:r>
    </w:p>
    <w:p w14:paraId="5F93434C">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一、</w:t>
      </w:r>
      <w:r>
        <w:rPr>
          <w:rFonts w:hint="eastAsia" w:ascii="宋体" w:hAnsi="宋体" w:eastAsia="宋体" w:cs="宋体"/>
          <w:i w:val="0"/>
          <w:iCs w:val="0"/>
          <w:caps w:val="0"/>
          <w:color w:val="222222"/>
          <w:spacing w:val="0"/>
          <w:kern w:val="0"/>
          <w:sz w:val="28"/>
          <w:szCs w:val="28"/>
          <w:lang w:val="en-US" w:eastAsia="zh-CN" w:bidi="ar"/>
        </w:rPr>
        <w:t>收支总体情况说明</w:t>
      </w:r>
    </w:p>
    <w:p w14:paraId="7D29DC64">
      <w:pPr>
        <w:pStyle w:val="2"/>
        <w:keepNext w:val="0"/>
        <w:keepLines w:val="0"/>
        <w:widowControl/>
        <w:suppressLineNumbers w:val="0"/>
        <w:ind w:left="0" w:firstLine="0"/>
        <w:rPr>
          <w:rFonts w:hint="default" w:ascii="Arial" w:hAnsi="Arial" w:cs="Arial"/>
          <w:i w:val="0"/>
          <w:iCs w:val="0"/>
          <w:caps w:val="0"/>
          <w:color w:val="222222"/>
          <w:spacing w:val="0"/>
          <w:sz w:val="18"/>
          <w:szCs w:val="18"/>
        </w:rPr>
      </w:pPr>
      <w:r>
        <w:rPr>
          <w:rFonts w:hint="default" w:ascii="Arial" w:hAnsi="Arial" w:cs="Arial"/>
          <w:i w:val="0"/>
          <w:iCs w:val="0"/>
          <w:caps w:val="0"/>
          <w:color w:val="222222"/>
          <w:spacing w:val="0"/>
          <w:sz w:val="27"/>
          <w:szCs w:val="27"/>
        </w:rPr>
        <w:t>二、决算收入增减变化情况说明</w:t>
      </w:r>
      <w:r>
        <w:rPr>
          <w:rFonts w:hint="default" w:ascii="Arial" w:hAnsi="Arial" w:cs="Arial"/>
          <w:i w:val="0"/>
          <w:iCs w:val="0"/>
          <w:caps w:val="0"/>
          <w:color w:val="222222"/>
          <w:spacing w:val="0"/>
          <w:sz w:val="27"/>
          <w:szCs w:val="27"/>
        </w:rPr>
        <w:br w:type="textWrapping"/>
      </w:r>
      <w:r>
        <w:rPr>
          <w:rFonts w:hint="default" w:ascii="Arial" w:hAnsi="Arial" w:cs="Arial"/>
          <w:i w:val="0"/>
          <w:iCs w:val="0"/>
          <w:caps w:val="0"/>
          <w:color w:val="222222"/>
          <w:spacing w:val="0"/>
          <w:sz w:val="27"/>
          <w:szCs w:val="27"/>
        </w:rPr>
        <w:br w:type="textWrapping"/>
      </w:r>
      <w:r>
        <w:rPr>
          <w:rFonts w:hint="default" w:ascii="Arial" w:hAnsi="Arial" w:cs="Arial"/>
          <w:i w:val="0"/>
          <w:iCs w:val="0"/>
          <w:caps w:val="0"/>
          <w:color w:val="222222"/>
          <w:spacing w:val="0"/>
          <w:sz w:val="27"/>
          <w:szCs w:val="27"/>
        </w:rPr>
        <w:t>三、决算支出增减变化情况说明</w:t>
      </w:r>
    </w:p>
    <w:p w14:paraId="1CA75485">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四、财政拨款收入支出决算情况说明</w:t>
      </w:r>
    </w:p>
    <w:p w14:paraId="0E54CDAF">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五、一般公共预算财政拨款支出决算情况说明</w:t>
      </w:r>
    </w:p>
    <w:p w14:paraId="24F3EF6A">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六、一般公共预算财政拨款基本支出决算情况说明</w:t>
      </w:r>
    </w:p>
    <w:p w14:paraId="1F41D378">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七、一般公共预算财政拨款“三公”经费支出决算情况说明</w:t>
      </w:r>
    </w:p>
    <w:p w14:paraId="248BCFF4">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八、机关运行费执行情况说明</w:t>
      </w:r>
    </w:p>
    <w:p w14:paraId="5A9F5BC3">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九、政府采购支出情况说明</w:t>
      </w:r>
    </w:p>
    <w:p w14:paraId="0B999188">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十、国有资产占用情况说明</w:t>
      </w:r>
    </w:p>
    <w:p w14:paraId="69086B86">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十一、其他情况</w:t>
      </w:r>
    </w:p>
    <w:p w14:paraId="1E35DA7E">
      <w:pPr>
        <w:keepNext w:val="0"/>
        <w:keepLines w:val="0"/>
        <w:widowControl/>
        <w:suppressLineNumbers w:val="0"/>
        <w:spacing w:before="0" w:beforeAutospacing="1" w:after="0" w:afterAutospacing="1" w:line="46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十二、预算绩效情况说明</w:t>
      </w:r>
    </w:p>
    <w:p w14:paraId="3299B2EE">
      <w:pPr>
        <w:keepNext w:val="0"/>
        <w:keepLines w:val="0"/>
        <w:widowControl/>
        <w:suppressLineNumbers w:val="0"/>
        <w:spacing w:before="0" w:beforeAutospacing="1" w:after="0" w:afterAutospacing="1" w:line="480" w:lineRule="atLeast"/>
        <w:ind w:left="0" w:right="0" w:firstLine="0"/>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第四部分、名词解释</w:t>
      </w:r>
    </w:p>
    <w:p w14:paraId="6C3C528F">
      <w:pPr>
        <w:keepNext w:val="0"/>
        <w:keepLines w:val="0"/>
        <w:widowControl/>
        <w:suppressLineNumbers w:val="0"/>
        <w:spacing w:before="0" w:beforeAutospacing="1" w:after="0" w:afterAutospacing="1" w:line="560" w:lineRule="atLeast"/>
        <w:ind w:left="0" w:right="0" w:firstLine="0"/>
        <w:jc w:val="center"/>
        <w:rPr>
          <w:rFonts w:hint="eastAsia" w:ascii="宋体" w:hAnsi="宋体" w:eastAsia="宋体" w:cs="宋体"/>
          <w:b w:val="0"/>
          <w:bCs w:val="0"/>
          <w:i w:val="0"/>
          <w:iCs w:val="0"/>
          <w:caps w:val="0"/>
          <w:color w:val="222222"/>
          <w:spacing w:val="0"/>
          <w:kern w:val="0"/>
          <w:sz w:val="44"/>
          <w:szCs w:val="44"/>
          <w:lang w:val="en-US" w:eastAsia="zh-CN" w:bidi="ar"/>
        </w:rPr>
      </w:pPr>
    </w:p>
    <w:p w14:paraId="3EBD4EDA">
      <w:pPr>
        <w:keepNext w:val="0"/>
        <w:keepLines w:val="0"/>
        <w:widowControl/>
        <w:suppressLineNumbers w:val="0"/>
        <w:spacing w:before="0" w:beforeAutospacing="1" w:after="0" w:afterAutospacing="1" w:line="560" w:lineRule="atLeast"/>
        <w:ind w:left="0" w:right="0" w:firstLine="0"/>
        <w:jc w:val="center"/>
        <w:rPr>
          <w:rFonts w:hint="eastAsia" w:ascii="宋体" w:hAnsi="宋体" w:eastAsia="宋体" w:cs="宋体"/>
          <w:b w:val="0"/>
          <w:bCs w:val="0"/>
          <w:i w:val="0"/>
          <w:iCs w:val="0"/>
          <w:caps w:val="0"/>
          <w:color w:val="222222"/>
          <w:spacing w:val="0"/>
          <w:kern w:val="0"/>
          <w:sz w:val="44"/>
          <w:szCs w:val="44"/>
          <w:lang w:val="en-US" w:eastAsia="zh-CN" w:bidi="ar"/>
        </w:rPr>
      </w:pPr>
    </w:p>
    <w:p w14:paraId="26B0CC43">
      <w:pPr>
        <w:keepNext w:val="0"/>
        <w:keepLines w:val="0"/>
        <w:widowControl/>
        <w:suppressLineNumbers w:val="0"/>
        <w:spacing w:before="0" w:beforeAutospacing="1" w:after="0" w:afterAutospacing="1" w:line="560" w:lineRule="atLeast"/>
        <w:ind w:left="0" w:right="0" w:firstLine="0"/>
        <w:jc w:val="center"/>
        <w:rPr>
          <w:rFonts w:ascii="Arial" w:hAnsi="Arial" w:cs="Arial"/>
          <w:i w:val="0"/>
          <w:iCs w:val="0"/>
          <w:caps w:val="0"/>
          <w:color w:val="222222"/>
          <w:spacing w:val="0"/>
          <w:sz w:val="18"/>
          <w:szCs w:val="18"/>
        </w:rPr>
      </w:pPr>
      <w:r>
        <w:rPr>
          <w:rFonts w:hint="eastAsia" w:ascii="宋体" w:hAnsi="宋体" w:eastAsia="宋体" w:cs="宋体"/>
          <w:b w:val="0"/>
          <w:bCs w:val="0"/>
          <w:i w:val="0"/>
          <w:iCs w:val="0"/>
          <w:caps w:val="0"/>
          <w:color w:val="222222"/>
          <w:spacing w:val="0"/>
          <w:kern w:val="0"/>
          <w:sz w:val="44"/>
          <w:szCs w:val="44"/>
          <w:lang w:val="en-US" w:eastAsia="zh-CN" w:bidi="ar"/>
        </w:rPr>
        <w:t>黄石市下陆区老下陆街道办事处2021年度部门决算及“三公”经费决算情况说明</w:t>
      </w:r>
    </w:p>
    <w:p w14:paraId="636F049D">
      <w:pPr>
        <w:keepNext w:val="0"/>
        <w:keepLines w:val="0"/>
        <w:widowControl/>
        <w:suppressLineNumbers w:val="0"/>
        <w:spacing w:before="0" w:beforeAutospacing="1" w:after="0" w:afterAutospacing="1" w:line="560" w:lineRule="atLeast"/>
        <w:ind w:left="0" w:right="0" w:firstLine="0"/>
        <w:jc w:val="center"/>
        <w:rPr>
          <w:rFonts w:hint="default" w:ascii="Arial" w:hAnsi="Arial" w:cs="Arial"/>
          <w:i w:val="0"/>
          <w:iCs w:val="0"/>
          <w:caps w:val="0"/>
          <w:color w:val="222222"/>
          <w:spacing w:val="0"/>
          <w:sz w:val="18"/>
          <w:szCs w:val="18"/>
        </w:rPr>
      </w:pPr>
      <w:r>
        <w:rPr>
          <w:rFonts w:hint="eastAsia" w:ascii="宋体" w:hAnsi="宋体" w:eastAsia="宋体" w:cs="宋体"/>
          <w:b w:val="0"/>
          <w:bCs w:val="0"/>
          <w:i w:val="0"/>
          <w:iCs w:val="0"/>
          <w:caps w:val="0"/>
          <w:color w:val="222222"/>
          <w:spacing w:val="0"/>
          <w:kern w:val="0"/>
          <w:sz w:val="44"/>
          <w:szCs w:val="44"/>
          <w:lang w:val="en-US" w:eastAsia="zh-CN" w:bidi="ar"/>
        </w:rPr>
        <w:t> </w:t>
      </w:r>
    </w:p>
    <w:p w14:paraId="1DD2CED3">
      <w:pPr>
        <w:keepNext w:val="0"/>
        <w:keepLines w:val="0"/>
        <w:widowControl/>
        <w:suppressLineNumbers w:val="0"/>
        <w:spacing w:before="0" w:beforeAutospacing="1" w:after="0" w:afterAutospacing="1" w:line="560" w:lineRule="atLeast"/>
        <w:ind w:left="0" w:right="0" w:firstLine="0"/>
        <w:jc w:val="both"/>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第一部分:部门基本情况</w:t>
      </w:r>
    </w:p>
    <w:p w14:paraId="75DF4215">
      <w:pPr>
        <w:keepNext w:val="0"/>
        <w:keepLines w:val="0"/>
        <w:widowControl/>
        <w:suppressLineNumbers w:val="0"/>
        <w:spacing w:before="0" w:beforeAutospacing="1" w:after="0" w:afterAutospacing="1" w:line="560" w:lineRule="atLeast"/>
        <w:ind w:left="0" w:right="0" w:firstLine="562"/>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一、部门主要职责</w:t>
      </w:r>
    </w:p>
    <w:p w14:paraId="7AD5C247">
      <w:pPr>
        <w:keepNext w:val="0"/>
        <w:keepLines w:val="0"/>
        <w:widowControl/>
        <w:suppressLineNumbers w:val="0"/>
        <w:spacing w:before="0" w:beforeAutospacing="1" w:after="0" w:afterAutospacing="1" w:line="520" w:lineRule="atLeast"/>
        <w:ind w:left="0" w:right="0" w:firstLine="56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 </w:t>
      </w:r>
      <w:r>
        <w:rPr>
          <w:rFonts w:ascii="仿宋_GB2312" w:hAnsi="Arial" w:eastAsia="仿宋_GB2312" w:cs="仿宋_GB2312"/>
          <w:b w:val="0"/>
          <w:bCs w:val="0"/>
          <w:i w:val="0"/>
          <w:iCs w:val="0"/>
          <w:caps w:val="0"/>
          <w:color w:val="222222"/>
          <w:spacing w:val="0"/>
          <w:kern w:val="0"/>
          <w:sz w:val="32"/>
          <w:szCs w:val="32"/>
          <w:lang w:val="en-US" w:eastAsia="zh-CN" w:bidi="ar"/>
        </w:rPr>
        <w:t>1</w:t>
      </w:r>
      <w:r>
        <w:rPr>
          <w:rFonts w:hint="eastAsia" w:ascii="仿宋_GB2312" w:hAnsi="Arial" w:eastAsia="仿宋_GB2312" w:cs="仿宋_GB2312"/>
          <w:b w:val="0"/>
          <w:bCs w:val="0"/>
          <w:i w:val="0"/>
          <w:iCs w:val="0"/>
          <w:caps w:val="0"/>
          <w:color w:val="222222"/>
          <w:spacing w:val="0"/>
          <w:kern w:val="0"/>
          <w:sz w:val="32"/>
          <w:szCs w:val="32"/>
          <w:lang w:val="en-US" w:eastAsia="zh-CN" w:bidi="ar"/>
        </w:rPr>
        <w:t>．主要职能：高起点规划，建设高端商居综合体，发展工业旅游产业，吸引现代物流、电子商务、汽车售后服务等项目聚集发展、建成富有活力、绿色低碳的多功能、创新型现代新兴产业区和绿色生态居住区。具体负责王寿社区、江洋社区、蜂烈山社区、老鹳庙社区、袁家畈社区5个社区的事务管理。</w:t>
      </w:r>
    </w:p>
    <w:p w14:paraId="01C2DF2C">
      <w:pPr>
        <w:keepNext w:val="0"/>
        <w:keepLines w:val="0"/>
        <w:widowControl/>
        <w:suppressLineNumbers w:val="0"/>
        <w:spacing w:before="0" w:beforeAutospacing="1" w:after="0" w:afterAutospacing="1" w:line="560" w:lineRule="atLeast"/>
        <w:ind w:left="0" w:right="0" w:firstLine="562"/>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二、部门机构设置情况</w:t>
      </w:r>
    </w:p>
    <w:p w14:paraId="55267479">
      <w:pPr>
        <w:keepNext w:val="0"/>
        <w:keepLines w:val="0"/>
        <w:widowControl/>
        <w:suppressLineNumbers w:val="0"/>
        <w:spacing w:before="0" w:beforeAutospacing="1" w:after="0" w:afterAutospacing="1" w:line="52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1.机构情况。“四办三中心”，“四办”为党政综合办公室、社会事务办公室、平安建设办公室、经济服务办公室、“三中心”</w:t>
      </w:r>
      <w:r>
        <w:rPr>
          <w:rFonts w:hint="eastAsia" w:ascii="仿宋_GB2312" w:hAnsi="Arial" w:eastAsia="仿宋_GB2312" w:cs="仿宋_GB2312"/>
          <w:i w:val="0"/>
          <w:iCs w:val="0"/>
          <w:caps w:val="0"/>
          <w:color w:val="000000"/>
          <w:spacing w:val="0"/>
          <w:kern w:val="0"/>
          <w:sz w:val="32"/>
          <w:szCs w:val="32"/>
          <w:lang w:val="en-US" w:eastAsia="zh-CN" w:bidi="ar"/>
        </w:rPr>
        <w:t>老下陆</w:t>
      </w:r>
      <w:r>
        <w:rPr>
          <w:rFonts w:hint="eastAsia" w:ascii="仿宋_GB2312" w:hAnsi="Arial" w:eastAsia="仿宋_GB2312" w:cs="仿宋_GB2312"/>
          <w:i w:val="0"/>
          <w:iCs w:val="0"/>
          <w:caps w:val="0"/>
          <w:color w:val="222222"/>
          <w:spacing w:val="0"/>
          <w:kern w:val="0"/>
          <w:sz w:val="32"/>
          <w:szCs w:val="32"/>
          <w:lang w:val="en-US" w:eastAsia="zh-CN" w:bidi="ar"/>
        </w:rPr>
        <w:t>街道党群服务中心、社区网格管理综合服务</w:t>
      </w:r>
      <w:r>
        <w:rPr>
          <w:rFonts w:hint="eastAsia" w:ascii="仿宋_GB2312" w:hAnsi="Arial" w:eastAsia="仿宋_GB2312" w:cs="仿宋_GB2312"/>
          <w:b w:val="0"/>
          <w:bCs w:val="0"/>
          <w:i w:val="0"/>
          <w:iCs w:val="0"/>
          <w:caps w:val="0"/>
          <w:color w:val="222222"/>
          <w:spacing w:val="0"/>
          <w:kern w:val="0"/>
          <w:sz w:val="32"/>
          <w:szCs w:val="32"/>
          <w:lang w:val="en-US" w:eastAsia="zh-CN" w:bidi="ar"/>
        </w:rPr>
        <w:t>中心、综合执法中心。</w:t>
      </w:r>
    </w:p>
    <w:p w14:paraId="11BED1C4">
      <w:pPr>
        <w:keepNext w:val="0"/>
        <w:keepLines w:val="0"/>
        <w:widowControl/>
        <w:suppressLineNumbers w:val="0"/>
        <w:spacing w:before="0" w:beforeAutospacing="1" w:after="0" w:afterAutospacing="1" w:line="520" w:lineRule="atLeast"/>
        <w:ind w:left="0" w:right="0" w:firstLine="640"/>
        <w:jc w:val="left"/>
        <w:rPr>
          <w:rFonts w:hint="eastAsia" w:ascii="仿宋_GB2312" w:hAnsi="Arial" w:eastAsia="仿宋_GB2312" w:cs="仿宋_GB2312"/>
          <w:i w:val="0"/>
          <w:iCs w:val="0"/>
          <w:caps w:val="0"/>
          <w:color w:val="222222"/>
          <w:spacing w:val="0"/>
          <w:kern w:val="0"/>
          <w:sz w:val="32"/>
          <w:szCs w:val="32"/>
          <w:lang w:val="en-US" w:eastAsia="zh-CN" w:bidi="ar"/>
        </w:rPr>
      </w:pPr>
      <w:r>
        <w:rPr>
          <w:rFonts w:hint="eastAsia" w:ascii="仿宋_GB2312" w:hAnsi="Arial" w:eastAsia="仿宋_GB2312" w:cs="仿宋_GB2312"/>
          <w:i w:val="0"/>
          <w:iCs w:val="0"/>
          <w:caps w:val="0"/>
          <w:color w:val="222222"/>
          <w:spacing w:val="0"/>
          <w:kern w:val="0"/>
          <w:sz w:val="32"/>
          <w:szCs w:val="32"/>
          <w:lang w:val="en-US" w:eastAsia="zh-CN" w:bidi="ar"/>
        </w:rPr>
        <w:t>2.2021年在职人员57人，其中行政编制11人，事业编制18人，区退伍安置人员 4 人，其他人员24人，较上一年度新增行政编制4人，事业编制14人，其他人员7人。</w:t>
      </w:r>
    </w:p>
    <w:p w14:paraId="3D89600C">
      <w:pPr>
        <w:keepNext w:val="0"/>
        <w:keepLines w:val="0"/>
        <w:widowControl/>
        <w:suppressLineNumbers w:val="0"/>
        <w:spacing w:before="0" w:beforeAutospacing="1" w:after="0" w:afterAutospacing="1" w:line="520" w:lineRule="atLeast"/>
        <w:ind w:left="0" w:right="0" w:firstLine="640"/>
        <w:jc w:val="left"/>
      </w:pPr>
      <w:r>
        <w:rPr>
          <w:rFonts w:ascii="Arial" w:hAnsi="Arial" w:eastAsia="宋体" w:cs="Arial"/>
          <w:b/>
          <w:bCs/>
          <w:color w:val="000000"/>
          <w:kern w:val="0"/>
          <w:sz w:val="29"/>
        </w:rPr>
        <w:t>第二部分: 部门2021年部门决算表</w:t>
      </w:r>
      <w:r>
        <w:rPr>
          <w:rFonts w:ascii="Arial" w:hAnsi="Arial" w:eastAsia="宋体" w:cs="Arial"/>
          <w:color w:val="000000"/>
          <w:kern w:val="0"/>
          <w:sz w:val="29"/>
          <w:szCs w:val="29"/>
        </w:rPr>
        <w:br w:type="textWrapping"/>
      </w:r>
      <w:r>
        <w:drawing>
          <wp:inline distT="0" distB="0" distL="114300" distR="114300">
            <wp:extent cx="5269230" cy="4408170"/>
            <wp:effectExtent l="0" t="0" r="7620" b="1143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5"/>
                    <a:stretch>
                      <a:fillRect/>
                    </a:stretch>
                  </pic:blipFill>
                  <pic:spPr>
                    <a:xfrm>
                      <a:off x="0" y="0"/>
                      <a:ext cx="5269230" cy="4408170"/>
                    </a:xfrm>
                    <a:prstGeom prst="rect">
                      <a:avLst/>
                    </a:prstGeom>
                    <a:noFill/>
                    <a:ln>
                      <a:noFill/>
                    </a:ln>
                  </pic:spPr>
                </pic:pic>
              </a:graphicData>
            </a:graphic>
          </wp:inline>
        </w:drawing>
      </w:r>
    </w:p>
    <w:p w14:paraId="60FDC934">
      <w:pPr>
        <w:keepNext w:val="0"/>
        <w:keepLines w:val="0"/>
        <w:widowControl/>
        <w:suppressLineNumbers w:val="0"/>
        <w:spacing w:before="0" w:beforeAutospacing="1" w:after="0" w:afterAutospacing="1" w:line="520" w:lineRule="atLeast"/>
        <w:ind w:right="0"/>
        <w:jc w:val="left"/>
      </w:pPr>
      <w:r>
        <w:drawing>
          <wp:inline distT="0" distB="0" distL="114300" distR="114300">
            <wp:extent cx="5268595" cy="2232660"/>
            <wp:effectExtent l="0" t="0" r="8255" b="1524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a:stretch>
                      <a:fillRect/>
                    </a:stretch>
                  </pic:blipFill>
                  <pic:spPr>
                    <a:xfrm>
                      <a:off x="0" y="0"/>
                      <a:ext cx="5268595" cy="2232660"/>
                    </a:xfrm>
                    <a:prstGeom prst="rect">
                      <a:avLst/>
                    </a:prstGeom>
                    <a:noFill/>
                    <a:ln>
                      <a:noFill/>
                    </a:ln>
                  </pic:spPr>
                </pic:pic>
              </a:graphicData>
            </a:graphic>
          </wp:inline>
        </w:drawing>
      </w:r>
    </w:p>
    <w:p w14:paraId="1006483C">
      <w:pPr>
        <w:keepNext w:val="0"/>
        <w:keepLines w:val="0"/>
        <w:widowControl/>
        <w:suppressLineNumbers w:val="0"/>
        <w:spacing w:before="0" w:beforeAutospacing="1" w:after="0" w:afterAutospacing="1" w:line="520" w:lineRule="atLeast"/>
        <w:ind w:right="0"/>
        <w:jc w:val="left"/>
      </w:pPr>
      <w:r>
        <w:drawing>
          <wp:inline distT="0" distB="0" distL="114300" distR="114300">
            <wp:extent cx="5264785" cy="2466975"/>
            <wp:effectExtent l="0" t="0" r="1206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tretch>
                      <a:fillRect/>
                    </a:stretch>
                  </pic:blipFill>
                  <pic:spPr>
                    <a:xfrm>
                      <a:off x="0" y="0"/>
                      <a:ext cx="5264785" cy="2466975"/>
                    </a:xfrm>
                    <a:prstGeom prst="rect">
                      <a:avLst/>
                    </a:prstGeom>
                    <a:noFill/>
                    <a:ln>
                      <a:noFill/>
                    </a:ln>
                  </pic:spPr>
                </pic:pic>
              </a:graphicData>
            </a:graphic>
          </wp:inline>
        </w:drawing>
      </w:r>
    </w:p>
    <w:p w14:paraId="00B78447">
      <w:pPr>
        <w:keepNext w:val="0"/>
        <w:keepLines w:val="0"/>
        <w:widowControl/>
        <w:suppressLineNumbers w:val="0"/>
        <w:spacing w:before="0" w:beforeAutospacing="1" w:after="0" w:afterAutospacing="1" w:line="520" w:lineRule="atLeast"/>
        <w:ind w:right="0"/>
        <w:jc w:val="left"/>
      </w:pPr>
      <w:r>
        <w:drawing>
          <wp:inline distT="0" distB="0" distL="114300" distR="114300">
            <wp:extent cx="5272405" cy="3865880"/>
            <wp:effectExtent l="0" t="0" r="4445" b="12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8"/>
                    <a:stretch>
                      <a:fillRect/>
                    </a:stretch>
                  </pic:blipFill>
                  <pic:spPr>
                    <a:xfrm>
                      <a:off x="0" y="0"/>
                      <a:ext cx="5272405" cy="3865880"/>
                    </a:xfrm>
                    <a:prstGeom prst="rect">
                      <a:avLst/>
                    </a:prstGeom>
                    <a:noFill/>
                    <a:ln>
                      <a:noFill/>
                    </a:ln>
                  </pic:spPr>
                </pic:pic>
              </a:graphicData>
            </a:graphic>
          </wp:inline>
        </w:drawing>
      </w:r>
    </w:p>
    <w:p w14:paraId="735CAB3F">
      <w:pPr>
        <w:keepNext w:val="0"/>
        <w:keepLines w:val="0"/>
        <w:widowControl/>
        <w:suppressLineNumbers w:val="0"/>
        <w:spacing w:before="0" w:beforeAutospacing="1" w:after="0" w:afterAutospacing="1" w:line="520" w:lineRule="atLeast"/>
        <w:ind w:right="0"/>
        <w:jc w:val="left"/>
      </w:pPr>
      <w:r>
        <w:drawing>
          <wp:inline distT="0" distB="0" distL="114300" distR="114300">
            <wp:extent cx="5270500" cy="3308350"/>
            <wp:effectExtent l="0" t="0" r="635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9"/>
                    <a:stretch>
                      <a:fillRect/>
                    </a:stretch>
                  </pic:blipFill>
                  <pic:spPr>
                    <a:xfrm>
                      <a:off x="0" y="0"/>
                      <a:ext cx="5270500" cy="3308350"/>
                    </a:xfrm>
                    <a:prstGeom prst="rect">
                      <a:avLst/>
                    </a:prstGeom>
                    <a:noFill/>
                    <a:ln>
                      <a:noFill/>
                    </a:ln>
                  </pic:spPr>
                </pic:pic>
              </a:graphicData>
            </a:graphic>
          </wp:inline>
        </w:drawing>
      </w:r>
    </w:p>
    <w:p w14:paraId="35C73411">
      <w:pPr>
        <w:keepNext w:val="0"/>
        <w:keepLines w:val="0"/>
        <w:widowControl/>
        <w:suppressLineNumbers w:val="0"/>
        <w:spacing w:before="0" w:beforeAutospacing="1" w:after="0" w:afterAutospacing="1" w:line="520" w:lineRule="atLeast"/>
        <w:ind w:right="0"/>
        <w:jc w:val="left"/>
      </w:pPr>
      <w:r>
        <w:drawing>
          <wp:inline distT="0" distB="0" distL="114300" distR="114300">
            <wp:extent cx="5268595" cy="3296285"/>
            <wp:effectExtent l="0" t="0" r="8255" b="1841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0"/>
                    <a:stretch>
                      <a:fillRect/>
                    </a:stretch>
                  </pic:blipFill>
                  <pic:spPr>
                    <a:xfrm>
                      <a:off x="0" y="0"/>
                      <a:ext cx="5268595" cy="3296285"/>
                    </a:xfrm>
                    <a:prstGeom prst="rect">
                      <a:avLst/>
                    </a:prstGeom>
                    <a:noFill/>
                    <a:ln>
                      <a:noFill/>
                    </a:ln>
                  </pic:spPr>
                </pic:pic>
              </a:graphicData>
            </a:graphic>
          </wp:inline>
        </w:drawing>
      </w:r>
    </w:p>
    <w:p w14:paraId="5B676EBB">
      <w:pPr>
        <w:keepNext w:val="0"/>
        <w:keepLines w:val="0"/>
        <w:widowControl/>
        <w:suppressLineNumbers w:val="0"/>
        <w:spacing w:before="0" w:beforeAutospacing="1" w:after="0" w:afterAutospacing="1" w:line="520" w:lineRule="atLeast"/>
        <w:ind w:right="0"/>
        <w:jc w:val="left"/>
      </w:pPr>
      <w:r>
        <w:drawing>
          <wp:inline distT="0" distB="0" distL="114300" distR="114300">
            <wp:extent cx="5270500" cy="927100"/>
            <wp:effectExtent l="0" t="0" r="6350" b="63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1"/>
                    <a:stretch>
                      <a:fillRect/>
                    </a:stretch>
                  </pic:blipFill>
                  <pic:spPr>
                    <a:xfrm>
                      <a:off x="0" y="0"/>
                      <a:ext cx="5270500" cy="927100"/>
                    </a:xfrm>
                    <a:prstGeom prst="rect">
                      <a:avLst/>
                    </a:prstGeom>
                    <a:noFill/>
                    <a:ln>
                      <a:noFill/>
                    </a:ln>
                  </pic:spPr>
                </pic:pic>
              </a:graphicData>
            </a:graphic>
          </wp:inline>
        </w:drawing>
      </w:r>
    </w:p>
    <w:p w14:paraId="5FC70200">
      <w:pPr>
        <w:keepNext w:val="0"/>
        <w:keepLines w:val="0"/>
        <w:widowControl/>
        <w:suppressLineNumbers w:val="0"/>
        <w:spacing w:before="0" w:beforeAutospacing="1" w:after="0" w:afterAutospacing="1" w:line="520" w:lineRule="atLeast"/>
        <w:ind w:right="0"/>
        <w:jc w:val="left"/>
      </w:pPr>
      <w:r>
        <w:drawing>
          <wp:inline distT="0" distB="0" distL="114300" distR="114300">
            <wp:extent cx="5265420" cy="1350010"/>
            <wp:effectExtent l="0" t="0" r="11430" b="254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2"/>
                    <a:stretch>
                      <a:fillRect/>
                    </a:stretch>
                  </pic:blipFill>
                  <pic:spPr>
                    <a:xfrm>
                      <a:off x="0" y="0"/>
                      <a:ext cx="5265420" cy="1350010"/>
                    </a:xfrm>
                    <a:prstGeom prst="rect">
                      <a:avLst/>
                    </a:prstGeom>
                    <a:noFill/>
                    <a:ln>
                      <a:noFill/>
                    </a:ln>
                  </pic:spPr>
                </pic:pic>
              </a:graphicData>
            </a:graphic>
          </wp:inline>
        </w:drawing>
      </w:r>
    </w:p>
    <w:p w14:paraId="182E78C7">
      <w:pPr>
        <w:keepNext w:val="0"/>
        <w:keepLines w:val="0"/>
        <w:widowControl/>
        <w:suppressLineNumbers w:val="0"/>
        <w:spacing w:before="0" w:beforeAutospacing="1" w:after="0" w:afterAutospacing="1" w:line="520" w:lineRule="atLeast"/>
        <w:ind w:right="0"/>
        <w:jc w:val="left"/>
      </w:pPr>
      <w:r>
        <w:drawing>
          <wp:inline distT="0" distB="0" distL="114300" distR="114300">
            <wp:extent cx="5270500" cy="2288540"/>
            <wp:effectExtent l="0" t="0" r="6350" b="1651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3"/>
                    <a:stretch>
                      <a:fillRect/>
                    </a:stretch>
                  </pic:blipFill>
                  <pic:spPr>
                    <a:xfrm>
                      <a:off x="0" y="0"/>
                      <a:ext cx="5270500" cy="2288540"/>
                    </a:xfrm>
                    <a:prstGeom prst="rect">
                      <a:avLst/>
                    </a:prstGeom>
                    <a:noFill/>
                    <a:ln>
                      <a:noFill/>
                    </a:ln>
                  </pic:spPr>
                </pic:pic>
              </a:graphicData>
            </a:graphic>
          </wp:inline>
        </w:drawing>
      </w:r>
    </w:p>
    <w:p w14:paraId="432FCF1E">
      <w:pPr>
        <w:keepNext w:val="0"/>
        <w:keepLines w:val="0"/>
        <w:widowControl/>
        <w:suppressLineNumbers w:val="0"/>
        <w:spacing w:before="0" w:beforeAutospacing="1" w:after="0" w:afterAutospacing="1" w:line="560" w:lineRule="atLeast"/>
        <w:ind w:right="0"/>
        <w:jc w:val="left"/>
        <w:rPr>
          <w:rFonts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第三部分：部门2021年部门决算情况说明</w:t>
      </w:r>
    </w:p>
    <w:p w14:paraId="7C9BAF44">
      <w:pPr>
        <w:keepNext w:val="0"/>
        <w:keepLines w:val="0"/>
        <w:widowControl/>
        <w:suppressLineNumbers w:val="0"/>
        <w:spacing w:before="0" w:beforeAutospacing="1" w:after="0" w:afterAutospacing="1" w:line="560" w:lineRule="atLeast"/>
        <w:ind w:left="0" w:right="0" w:firstLine="562"/>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一、收支总体情况说明</w:t>
      </w:r>
    </w:p>
    <w:p w14:paraId="600D5609">
      <w:pPr>
        <w:keepNext w:val="0"/>
        <w:keepLines w:val="0"/>
        <w:widowControl/>
        <w:suppressLineNumbers w:val="0"/>
        <w:spacing w:before="0" w:beforeAutospacing="1" w:after="0" w:afterAutospacing="1" w:line="520" w:lineRule="atLeast"/>
        <w:ind w:left="0" w:right="0" w:firstLine="640"/>
        <w:jc w:val="left"/>
        <w:rPr>
          <w:rFonts w:hint="default" w:ascii="Arial" w:hAnsi="Arial" w:cs="Arial"/>
          <w:i w:val="0"/>
          <w:iCs w:val="0"/>
          <w:caps w:val="0"/>
          <w:color w:val="222222"/>
          <w:spacing w:val="0"/>
          <w:sz w:val="18"/>
          <w:szCs w:val="18"/>
        </w:rPr>
      </w:pPr>
      <w:r>
        <w:rPr>
          <w:rFonts w:ascii="仿宋_GB2312" w:hAnsi="Arial" w:eastAsia="仿宋_GB2312" w:cs="仿宋_GB2312"/>
          <w:b w:val="0"/>
          <w:bCs w:val="0"/>
          <w:i w:val="0"/>
          <w:iCs w:val="0"/>
          <w:caps w:val="0"/>
          <w:color w:val="222222"/>
          <w:spacing w:val="0"/>
          <w:kern w:val="0"/>
          <w:sz w:val="32"/>
          <w:szCs w:val="32"/>
          <w:lang w:val="en-US" w:eastAsia="zh-CN" w:bidi="ar"/>
        </w:rPr>
        <w:t>下陆区老下陆街道办事处</w:t>
      </w:r>
      <w:r>
        <w:rPr>
          <w:rFonts w:hint="eastAsia" w:ascii="仿宋_GB2312" w:hAnsi="Arial" w:eastAsia="仿宋_GB2312" w:cs="仿宋_GB2312"/>
          <w:b w:val="0"/>
          <w:bCs w:val="0"/>
          <w:i w:val="0"/>
          <w:iCs w:val="0"/>
          <w:caps w:val="0"/>
          <w:color w:val="222222"/>
          <w:spacing w:val="0"/>
          <w:kern w:val="0"/>
          <w:sz w:val="32"/>
          <w:szCs w:val="32"/>
          <w:lang w:val="en-US" w:eastAsia="zh-CN" w:bidi="ar"/>
        </w:rPr>
        <w:t>2021年度决算总收入合计1128.95万元，较2021年度预算总收入440.53万元增加了688.42万元，较2020年度决算总收入582.73万元增加了546.22万元，原因是财政拨款收入增加。2021年度决算总支出合计1149.95万元，</w:t>
      </w:r>
      <w:r>
        <w:rPr>
          <w:rFonts w:hint="eastAsia" w:ascii="仿宋_GB2312" w:hAnsi="Arial" w:eastAsia="仿宋_GB2312" w:cs="仿宋_GB2312"/>
          <w:i w:val="0"/>
          <w:iCs w:val="0"/>
          <w:caps w:val="0"/>
          <w:color w:val="222222"/>
          <w:spacing w:val="0"/>
          <w:kern w:val="0"/>
          <w:sz w:val="32"/>
          <w:szCs w:val="32"/>
          <w:lang w:val="en-US" w:eastAsia="zh-CN" w:bidi="ar"/>
        </w:rPr>
        <w:t>较2021年度预算总支出440.53万元增加了709.42万元，较2020年度决算总支出540.23万元增加了609.72万元，主要原因是一般公共服务支出有所增加。</w:t>
      </w:r>
    </w:p>
    <w:p w14:paraId="04142467">
      <w:pPr>
        <w:keepNext w:val="0"/>
        <w:keepLines w:val="0"/>
        <w:widowControl/>
        <w:suppressLineNumbers w:val="0"/>
        <w:spacing w:before="0" w:beforeAutospacing="1" w:after="0" w:afterAutospacing="1" w:line="560" w:lineRule="atLeast"/>
        <w:ind w:left="0" w:right="0" w:firstLine="562"/>
        <w:jc w:val="left"/>
        <w:rPr>
          <w:rFonts w:hint="default" w:ascii="Arial" w:hAnsi="Arial" w:cs="Arial"/>
          <w:i w:val="0"/>
          <w:iCs w:val="0"/>
          <w:caps w:val="0"/>
          <w:color w:val="222222"/>
          <w:spacing w:val="0"/>
          <w:sz w:val="18"/>
          <w:szCs w:val="18"/>
        </w:rPr>
      </w:pPr>
      <w:r>
        <w:rPr>
          <w:rFonts w:hint="default" w:ascii="Arial" w:hAnsi="Arial" w:cs="Arial" w:eastAsiaTheme="minorEastAsia"/>
          <w:i w:val="0"/>
          <w:iCs w:val="0"/>
          <w:caps w:val="0"/>
          <w:color w:val="222222"/>
          <w:spacing w:val="0"/>
          <w:kern w:val="0"/>
          <w:sz w:val="27"/>
          <w:szCs w:val="27"/>
          <w:lang w:val="en-US" w:eastAsia="zh-CN" w:bidi="ar"/>
        </w:rPr>
        <w:t>二、2021年度决算收入增减变化情况说明</w:t>
      </w:r>
    </w:p>
    <w:p w14:paraId="5A275584">
      <w:pPr>
        <w:keepNext w:val="0"/>
        <w:keepLines w:val="0"/>
        <w:widowControl/>
        <w:suppressLineNumbers w:val="0"/>
        <w:spacing w:before="0" w:beforeAutospacing="1" w:after="0" w:afterAutospacing="1" w:line="52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下陆区老下陆街道办事处2021年度决算收入合计1128.95万元，</w:t>
      </w:r>
      <w:r>
        <w:rPr>
          <w:rFonts w:hint="eastAsia" w:ascii="仿宋_GB2312" w:hAnsi="Arial" w:eastAsia="仿宋_GB2312" w:cs="仿宋_GB2312"/>
          <w:i w:val="0"/>
          <w:iCs w:val="0"/>
          <w:caps w:val="0"/>
          <w:color w:val="222222"/>
          <w:spacing w:val="0"/>
          <w:kern w:val="0"/>
          <w:sz w:val="32"/>
          <w:szCs w:val="32"/>
          <w:lang w:val="en-US" w:eastAsia="zh-CN" w:bidi="ar"/>
        </w:rPr>
        <w:t>较2021年度预算总收入440.53万元增加了688.42万元，其中：财政拨款收入1128.95万元。较2020年度决算总收入582.73万元增加了546.22万元，原因是财政拨款收入增加。</w:t>
      </w:r>
    </w:p>
    <w:p w14:paraId="0FEE022B">
      <w:pPr>
        <w:keepNext w:val="0"/>
        <w:keepLines w:val="0"/>
        <w:widowControl/>
        <w:suppressLineNumbers w:val="0"/>
        <w:spacing w:before="0" w:beforeAutospacing="1" w:after="0" w:afterAutospacing="1" w:line="560" w:lineRule="atLeast"/>
        <w:ind w:left="0" w:right="0" w:firstLine="562"/>
        <w:jc w:val="left"/>
        <w:rPr>
          <w:rFonts w:hint="default" w:ascii="Arial" w:hAnsi="Arial" w:cs="Arial"/>
          <w:i w:val="0"/>
          <w:iCs w:val="0"/>
          <w:caps w:val="0"/>
          <w:color w:val="222222"/>
          <w:spacing w:val="0"/>
          <w:sz w:val="18"/>
          <w:szCs w:val="18"/>
        </w:rPr>
      </w:pPr>
      <w:r>
        <w:rPr>
          <w:rFonts w:hint="default" w:ascii="Arial" w:hAnsi="Arial" w:cs="Arial" w:eastAsiaTheme="minorEastAsia"/>
          <w:i w:val="0"/>
          <w:iCs w:val="0"/>
          <w:caps w:val="0"/>
          <w:color w:val="222222"/>
          <w:spacing w:val="0"/>
          <w:kern w:val="0"/>
          <w:sz w:val="27"/>
          <w:szCs w:val="27"/>
          <w:lang w:val="en-US" w:eastAsia="zh-CN" w:bidi="ar"/>
        </w:rPr>
        <w:t>三、2021年度决算支出增减变化情况说明</w:t>
      </w:r>
    </w:p>
    <w:p w14:paraId="7E260E6A">
      <w:pPr>
        <w:keepNext w:val="0"/>
        <w:keepLines w:val="0"/>
        <w:widowControl/>
        <w:suppressLineNumbers w:val="0"/>
        <w:spacing w:before="0" w:beforeAutospacing="1" w:after="0" w:afterAutospacing="1" w:line="52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下陆区老下陆街道办事处2021年度支出1149.95万元，</w:t>
      </w:r>
      <w:r>
        <w:rPr>
          <w:rFonts w:hint="eastAsia" w:ascii="仿宋_GB2312" w:hAnsi="Arial" w:eastAsia="仿宋_GB2312" w:cs="仿宋_GB2312"/>
          <w:i w:val="0"/>
          <w:iCs w:val="0"/>
          <w:caps w:val="0"/>
          <w:color w:val="222222"/>
          <w:spacing w:val="0"/>
          <w:kern w:val="0"/>
          <w:sz w:val="32"/>
          <w:szCs w:val="32"/>
          <w:lang w:val="en-US" w:eastAsia="zh-CN" w:bidi="ar"/>
        </w:rPr>
        <w:t>较2021年度预算总支出440.53万元增加了709.42万元，其中：基本支出1149.95万元，项目支出0万元。较2020年度决算总支出540.23万元增加了609.72万元，主要原因是一般公共服务支出有所增加。</w:t>
      </w:r>
    </w:p>
    <w:p w14:paraId="12FA1AF2">
      <w:pPr>
        <w:keepNext w:val="0"/>
        <w:keepLines w:val="0"/>
        <w:widowControl/>
        <w:suppressLineNumbers w:val="0"/>
        <w:spacing w:before="0" w:beforeAutospacing="1" w:after="0" w:afterAutospacing="1" w:line="52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基本支主要用于：</w:t>
      </w:r>
    </w:p>
    <w:p w14:paraId="13C56EC8">
      <w:pPr>
        <w:keepNext w:val="0"/>
        <w:keepLines w:val="0"/>
        <w:widowControl/>
        <w:suppressLineNumbers w:val="0"/>
        <w:spacing w:before="0" w:beforeAutospacing="1" w:after="0" w:afterAutospacing="1" w:line="52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（1）工资及福利支出505.60万元，主要用于职工基本工资、津贴、补贴、奖金、社会保障缴费支出；</w:t>
      </w:r>
    </w:p>
    <w:p w14:paraId="643A4869">
      <w:pPr>
        <w:keepNext w:val="0"/>
        <w:keepLines w:val="0"/>
        <w:widowControl/>
        <w:suppressLineNumbers w:val="0"/>
        <w:spacing w:before="0" w:beforeAutospacing="1" w:after="0" w:afterAutospacing="1" w:line="52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（2）商品及服务支出638.90万元，主要用于办公费用、印刷费、水电费、电话费、劳务费、工会福利费、燃油费、交通费、招待费、专项经费等支出；</w:t>
      </w:r>
    </w:p>
    <w:p w14:paraId="4D1755B6">
      <w:pPr>
        <w:keepNext w:val="0"/>
        <w:keepLines w:val="0"/>
        <w:widowControl/>
        <w:suppressLineNumbers w:val="0"/>
        <w:spacing w:before="0" w:beforeAutospacing="1" w:after="0" w:afterAutospacing="1" w:line="52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（3）对个人和家庭的补助支出0万元；主要用于退休费等支出；</w:t>
      </w:r>
    </w:p>
    <w:p w14:paraId="6DC235D3">
      <w:pPr>
        <w:keepNext w:val="0"/>
        <w:keepLines w:val="0"/>
        <w:widowControl/>
        <w:suppressLineNumbers w:val="0"/>
        <w:spacing w:before="0" w:beforeAutospacing="1" w:after="0" w:afterAutospacing="1" w:line="52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（4）其它资本性支出5.45万元；主要用于办公设备购置。</w:t>
      </w:r>
    </w:p>
    <w:p w14:paraId="640890A6">
      <w:pPr>
        <w:keepNext w:val="0"/>
        <w:keepLines w:val="0"/>
        <w:widowControl/>
        <w:suppressLineNumbers w:val="0"/>
        <w:spacing w:before="0" w:beforeAutospacing="1" w:after="0" w:afterAutospacing="1" w:line="520" w:lineRule="atLeast"/>
        <w:ind w:left="0" w:right="0" w:firstLine="562"/>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四、2021年财政拨款收入支出决算情况说明</w:t>
      </w:r>
    </w:p>
    <w:p w14:paraId="75335E00">
      <w:pPr>
        <w:keepNext w:val="0"/>
        <w:keepLines w:val="0"/>
        <w:widowControl/>
        <w:suppressLineNumbers w:val="0"/>
        <w:spacing w:before="0" w:beforeAutospacing="1" w:after="0" w:afterAutospacing="1" w:line="520" w:lineRule="atLeast"/>
        <w:ind w:left="0" w:right="0" w:firstLine="640"/>
        <w:jc w:val="left"/>
        <w:rPr>
          <w:rFonts w:hint="eastAsia" w:ascii="仿宋_GB2312" w:hAnsi="Arial" w:eastAsia="仿宋_GB2312" w:cs="仿宋_GB2312"/>
          <w:b w:val="0"/>
          <w:bCs w:val="0"/>
          <w:i w:val="0"/>
          <w:iCs w:val="0"/>
          <w:caps w:val="0"/>
          <w:color w:val="222222"/>
          <w:spacing w:val="0"/>
          <w:kern w:val="0"/>
          <w:sz w:val="32"/>
          <w:szCs w:val="32"/>
          <w:lang w:val="en-US" w:eastAsia="zh-CN" w:bidi="ar"/>
        </w:rPr>
      </w:pPr>
      <w:r>
        <w:rPr>
          <w:rFonts w:hint="eastAsia" w:ascii="仿宋_GB2312" w:hAnsi="Arial" w:eastAsia="仿宋_GB2312" w:cs="仿宋_GB2312"/>
          <w:b w:val="0"/>
          <w:bCs w:val="0"/>
          <w:i w:val="0"/>
          <w:iCs w:val="0"/>
          <w:caps w:val="0"/>
          <w:color w:val="222222"/>
          <w:spacing w:val="0"/>
          <w:kern w:val="0"/>
          <w:sz w:val="32"/>
          <w:szCs w:val="32"/>
          <w:lang w:val="en-US" w:eastAsia="zh-CN" w:bidi="ar"/>
        </w:rPr>
        <w:t xml:space="preserve">   下陆区老下陆街道办事处2021年财政拨款收入总计1128.95万元，年初结转结余0万元，其中：一般公共预算拨款529.13万元，年初结转结余0万元；</w:t>
      </w:r>
    </w:p>
    <w:p w14:paraId="6EF26315">
      <w:pPr>
        <w:keepNext w:val="0"/>
        <w:keepLines w:val="0"/>
        <w:widowControl/>
        <w:suppressLineNumbers w:val="0"/>
        <w:spacing w:before="0" w:beforeAutospacing="1" w:after="0" w:afterAutospacing="1" w:line="52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 xml:space="preserve">    2021年财政拨款支出总计1128.95万元，按支出性质分类：基本支出1128.95万元，与年初预算数440.53万元相比增加688.42万元，原因是人员的增加，工资福利费用支出的增加。增加了规范编制经费、创文复审经费、文明指数测评社区奖励资金。与上年决算数540.23相比增加588.72万元，原因是人员的增加，工资福利费用支出的增加。年末财政拨款结转和结余0万元。其中：一般公共预算拨款529.13万元，年末财政拨款结转和结余0万元。</w:t>
      </w:r>
    </w:p>
    <w:p w14:paraId="120F6F7E">
      <w:pPr>
        <w:keepNext w:val="0"/>
        <w:keepLines w:val="0"/>
        <w:widowControl/>
        <w:suppressLineNumbers w:val="0"/>
        <w:spacing w:before="0" w:beforeAutospacing="1" w:after="0" w:afterAutospacing="1" w:line="520" w:lineRule="atLeast"/>
        <w:ind w:left="0" w:right="0" w:firstLine="562"/>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五、2021年一般公共预算财政拨款支出决算情况说明</w:t>
      </w:r>
    </w:p>
    <w:p w14:paraId="5A865FEF">
      <w:pPr>
        <w:keepNext w:val="0"/>
        <w:keepLines w:val="0"/>
        <w:widowControl/>
        <w:suppressLineNumbers w:val="0"/>
        <w:spacing w:before="0" w:beforeAutospacing="1" w:after="0" w:afterAutospacing="1" w:line="52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下陆区老下陆街道办事处2021年一般公共预算财政拨款支出年初预算数为440.53万元，支出年末决算数为1149.95万元，较2020年决算数540.23增加万元，增幅 112.86%，</w:t>
      </w:r>
      <w:r>
        <w:rPr>
          <w:rFonts w:hint="eastAsia" w:ascii="仿宋_GB2312" w:hAnsi="Arial" w:eastAsia="仿宋_GB2312" w:cs="仿宋_GB2312"/>
          <w:i w:val="0"/>
          <w:iCs w:val="0"/>
          <w:caps w:val="0"/>
          <w:color w:val="222222"/>
          <w:spacing w:val="0"/>
          <w:kern w:val="0"/>
          <w:sz w:val="32"/>
          <w:szCs w:val="32"/>
          <w:lang w:val="en-US" w:eastAsia="zh-CN" w:bidi="ar"/>
        </w:rPr>
        <w:t>原因是一般公共服务支出有所增加。</w:t>
      </w:r>
    </w:p>
    <w:p w14:paraId="2E4047FA">
      <w:pPr>
        <w:keepNext w:val="0"/>
        <w:keepLines w:val="0"/>
        <w:widowControl/>
        <w:suppressLineNumbers w:val="0"/>
        <w:spacing w:before="0" w:beforeAutospacing="1" w:after="0" w:afterAutospacing="1" w:line="52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按支出功能分类，一般公共服务支出决算为529.13万元，较上年471.89万元增加57.24万元，增幅12.13%。</w:t>
      </w:r>
    </w:p>
    <w:p w14:paraId="0095EDE8">
      <w:pPr>
        <w:keepNext w:val="0"/>
        <w:keepLines w:val="0"/>
        <w:widowControl/>
        <w:suppressLineNumbers w:val="0"/>
        <w:spacing w:before="0" w:beforeAutospacing="1" w:after="0" w:afterAutospacing="1" w:line="520" w:lineRule="atLeast"/>
        <w:ind w:left="0" w:right="0" w:firstLine="562"/>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六、2021年一般公共预算财政拨款基本支出决算情况说明</w:t>
      </w:r>
    </w:p>
    <w:p w14:paraId="4ACCE1FB">
      <w:pPr>
        <w:keepNext w:val="0"/>
        <w:keepLines w:val="0"/>
        <w:widowControl/>
        <w:suppressLineNumbers w:val="0"/>
        <w:spacing w:before="0" w:beforeAutospacing="1" w:after="0" w:afterAutospacing="1" w:line="52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下陆区老下陆街道办事处2021年一般公共预算财政拨款基本支出1149.95 万元，较上年540.23增加57.24万元，增幅112.86%。</w:t>
      </w:r>
    </w:p>
    <w:p w14:paraId="022EADFC">
      <w:pPr>
        <w:keepNext w:val="0"/>
        <w:keepLines w:val="0"/>
        <w:widowControl/>
        <w:suppressLineNumbers w:val="0"/>
        <w:spacing w:before="0" w:beforeAutospacing="1" w:after="0" w:afterAutospacing="1" w:line="52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其中，人员经费支出505.60万元，较上年245.85万元增加259.75万元，增幅105.65%。人员经费主要包括：基本工资、津贴补贴、奖金、社会保险缴费、离退休费、医疗费、住房公积金、职业年金、机关事业单位养老保险等支出。日常公用经费支出638.90万元，较上年286.36万元增加352.54万元，增幅123.11%。日常公用经费主要包括：办公费、印刷费、水费、电费、邮电费、物业管理费、差旅费、因公出国（境）费、维修（护）费、租赁费、会议费、培训费、公务接待费、劳务费、工会经费、福利费、公车运行维护费、其他交通费、其他商品和服务支出、办公设备购置等。</w:t>
      </w:r>
    </w:p>
    <w:p w14:paraId="28260AA5">
      <w:pPr>
        <w:keepNext w:val="0"/>
        <w:keepLines w:val="0"/>
        <w:widowControl/>
        <w:suppressLineNumbers w:val="0"/>
        <w:spacing w:before="0" w:beforeAutospacing="1" w:after="0" w:afterAutospacing="1" w:line="520" w:lineRule="atLeast"/>
        <w:ind w:left="0" w:right="0" w:firstLine="562"/>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七、一般公共预算财政拨款“三公”经费支出决算情况说明</w:t>
      </w:r>
    </w:p>
    <w:p w14:paraId="5DAF94C3">
      <w:pPr>
        <w:keepNext w:val="0"/>
        <w:keepLines w:val="0"/>
        <w:widowControl/>
        <w:suppressLineNumbers w:val="0"/>
        <w:spacing w:before="100" w:beforeAutospacing="0" w:after="100" w:afterAutospacing="0" w:line="520" w:lineRule="atLeast"/>
        <w:ind w:left="0" w:right="0" w:firstLine="640"/>
        <w:jc w:val="left"/>
        <w:rPr>
          <w:rFonts w:hint="eastAsia" w:ascii="仿宋_GB2312" w:hAnsi="Arial" w:eastAsia="仿宋_GB2312" w:cs="仿宋_GB2312"/>
          <w:b w:val="0"/>
          <w:bCs w:val="0"/>
          <w:i w:val="0"/>
          <w:iCs w:val="0"/>
          <w:caps w:val="0"/>
          <w:color w:val="222222"/>
          <w:spacing w:val="0"/>
          <w:kern w:val="0"/>
          <w:sz w:val="32"/>
          <w:szCs w:val="32"/>
          <w:lang w:val="en-US" w:eastAsia="zh-CN" w:bidi="ar"/>
        </w:rPr>
      </w:pPr>
      <w:r>
        <w:rPr>
          <w:rFonts w:hint="eastAsia" w:ascii="仿宋_GB2312" w:hAnsi="Arial" w:eastAsia="仿宋_GB2312" w:cs="仿宋_GB2312"/>
          <w:b w:val="0"/>
          <w:bCs w:val="0"/>
          <w:i w:val="0"/>
          <w:iCs w:val="0"/>
          <w:caps w:val="0"/>
          <w:color w:val="222222"/>
          <w:spacing w:val="0"/>
          <w:kern w:val="0"/>
          <w:sz w:val="32"/>
          <w:szCs w:val="32"/>
          <w:lang w:val="en-US" w:eastAsia="zh-CN" w:bidi="ar"/>
        </w:rPr>
        <w:t>2021年度“三公”经费支出决算数为4.92万元，与2020年支出决算数1.34万元比增加3.58万元，主要为公务用车运行维护费的增加；与2021年预算8.16万元相比减少3.24万元，车辆运行维护费减少1.88万元，招待费减少1.36万元，主要原因是去年受疫情影响，部分业务无法开展。其中:</w:t>
      </w:r>
    </w:p>
    <w:p w14:paraId="7B2819D0">
      <w:pPr>
        <w:keepNext w:val="0"/>
        <w:keepLines w:val="0"/>
        <w:widowControl/>
        <w:suppressLineNumbers w:val="0"/>
        <w:spacing w:before="100" w:beforeAutospacing="0" w:after="100" w:afterAutospacing="0" w:line="520" w:lineRule="atLeast"/>
        <w:ind w:left="0" w:right="0" w:firstLine="640"/>
        <w:jc w:val="left"/>
        <w:rPr>
          <w:rFonts w:hint="eastAsia" w:ascii="仿宋_GB2312" w:hAnsi="Arial" w:eastAsia="仿宋_GB2312" w:cs="仿宋_GB2312"/>
          <w:b w:val="0"/>
          <w:bCs w:val="0"/>
          <w:i w:val="0"/>
          <w:iCs w:val="0"/>
          <w:caps w:val="0"/>
          <w:color w:val="222222"/>
          <w:spacing w:val="0"/>
          <w:kern w:val="0"/>
          <w:sz w:val="32"/>
          <w:szCs w:val="32"/>
          <w:lang w:val="en-US" w:eastAsia="zh-CN" w:bidi="ar"/>
        </w:rPr>
      </w:pPr>
      <w:r>
        <w:rPr>
          <w:rFonts w:hint="eastAsia" w:ascii="仿宋_GB2312" w:hAnsi="Arial" w:eastAsia="仿宋_GB2312" w:cs="仿宋_GB2312"/>
          <w:b w:val="0"/>
          <w:bCs w:val="0"/>
          <w:i w:val="0"/>
          <w:iCs w:val="0"/>
          <w:caps w:val="0"/>
          <w:color w:val="222222"/>
          <w:spacing w:val="0"/>
          <w:kern w:val="0"/>
          <w:sz w:val="32"/>
          <w:szCs w:val="32"/>
          <w:lang w:val="en-US" w:eastAsia="zh-CN" w:bidi="ar"/>
        </w:rPr>
        <w:t>1、因公出国（境）费用支出决算为0万元，,团组数为0组，人数为0人。与2020年决算数0万元相比</w:t>
      </w:r>
      <w:bookmarkStart w:id="0" w:name="_GoBack"/>
      <w:bookmarkEnd w:id="0"/>
      <w:r>
        <w:rPr>
          <w:rFonts w:hint="eastAsia" w:ascii="仿宋_GB2312" w:hAnsi="Arial" w:eastAsia="仿宋_GB2312" w:cs="仿宋_GB2312"/>
          <w:b w:val="0"/>
          <w:bCs w:val="0"/>
          <w:i w:val="0"/>
          <w:iCs w:val="0"/>
          <w:caps w:val="0"/>
          <w:color w:val="222222"/>
          <w:spacing w:val="0"/>
          <w:kern w:val="0"/>
          <w:sz w:val="32"/>
          <w:szCs w:val="32"/>
          <w:lang w:val="en-US" w:eastAsia="zh-CN" w:bidi="ar"/>
        </w:rPr>
        <w:t>持平，原因是我单位无因公出国（境）费用支出。与2021年预算数0万元相比持平，原因是我单位无因公出国（境）费用支出。</w:t>
      </w:r>
    </w:p>
    <w:p w14:paraId="6D7F73FB">
      <w:pPr>
        <w:keepNext w:val="0"/>
        <w:keepLines w:val="0"/>
        <w:widowControl/>
        <w:suppressLineNumbers w:val="0"/>
        <w:spacing w:before="100" w:beforeAutospacing="0" w:after="100" w:afterAutospacing="0" w:line="520" w:lineRule="atLeast"/>
        <w:ind w:left="0" w:right="0" w:firstLine="640"/>
        <w:jc w:val="left"/>
        <w:rPr>
          <w:rFonts w:hint="eastAsia" w:ascii="仿宋_GB2312" w:hAnsi="Arial" w:eastAsia="仿宋_GB2312" w:cs="仿宋_GB2312"/>
          <w:b w:val="0"/>
          <w:bCs w:val="0"/>
          <w:i w:val="0"/>
          <w:iCs w:val="0"/>
          <w:caps w:val="0"/>
          <w:color w:val="222222"/>
          <w:spacing w:val="0"/>
          <w:kern w:val="0"/>
          <w:sz w:val="32"/>
          <w:szCs w:val="32"/>
          <w:lang w:val="en-US" w:eastAsia="zh-CN" w:bidi="ar"/>
        </w:rPr>
      </w:pPr>
      <w:r>
        <w:rPr>
          <w:rFonts w:hint="eastAsia" w:ascii="仿宋_GB2312" w:hAnsi="Arial" w:eastAsia="仿宋_GB2312" w:cs="仿宋_GB2312"/>
          <w:b w:val="0"/>
          <w:bCs w:val="0"/>
          <w:i w:val="0"/>
          <w:iCs w:val="0"/>
          <w:caps w:val="0"/>
          <w:color w:val="222222"/>
          <w:spacing w:val="0"/>
          <w:kern w:val="0"/>
          <w:sz w:val="32"/>
          <w:szCs w:val="32"/>
          <w:lang w:val="en-US" w:eastAsia="zh-CN" w:bidi="ar"/>
        </w:rPr>
        <w:t>2、2021年公务用车购置及运行维护费支出决算数为4.92万元，与2020年决算数1.34万元相比增加3.58万元，原因是公务车运行维护费增加。与2021年预算数6.8万元减少1.88万元，原因是车辆运行维护费减少。其中：</w:t>
      </w:r>
    </w:p>
    <w:p w14:paraId="46BEBB31">
      <w:pPr>
        <w:keepNext w:val="0"/>
        <w:keepLines w:val="0"/>
        <w:widowControl/>
        <w:suppressLineNumbers w:val="0"/>
        <w:spacing w:before="100" w:beforeAutospacing="0" w:after="100" w:afterAutospacing="0" w:line="520" w:lineRule="atLeast"/>
        <w:ind w:left="0" w:right="0" w:firstLine="640"/>
        <w:jc w:val="left"/>
        <w:rPr>
          <w:rFonts w:hint="eastAsia" w:ascii="仿宋_GB2312" w:hAnsi="Arial" w:eastAsia="仿宋_GB2312" w:cs="仿宋_GB2312"/>
          <w:b w:val="0"/>
          <w:bCs w:val="0"/>
          <w:i w:val="0"/>
          <w:iCs w:val="0"/>
          <w:caps w:val="0"/>
          <w:color w:val="222222"/>
          <w:spacing w:val="0"/>
          <w:kern w:val="0"/>
          <w:sz w:val="32"/>
          <w:szCs w:val="32"/>
          <w:lang w:val="en-US" w:eastAsia="zh-CN" w:bidi="ar"/>
        </w:rPr>
      </w:pPr>
      <w:r>
        <w:rPr>
          <w:rFonts w:hint="eastAsia" w:ascii="仿宋_GB2312" w:hAnsi="Arial" w:eastAsia="仿宋_GB2312" w:cs="仿宋_GB2312"/>
          <w:b w:val="0"/>
          <w:bCs w:val="0"/>
          <w:i w:val="0"/>
          <w:iCs w:val="0"/>
          <w:caps w:val="0"/>
          <w:color w:val="222222"/>
          <w:spacing w:val="0"/>
          <w:kern w:val="0"/>
          <w:sz w:val="32"/>
          <w:szCs w:val="32"/>
          <w:lang w:val="en-US" w:eastAsia="zh-CN" w:bidi="ar"/>
        </w:rPr>
        <w:t>（1）我单位公务用车购置费为0万元，车型为：无 ，本年度公务用车购置数0辆，公务用车保有量为0台。与2020年决算数0万元相比持平，原因是我单位未购置车辆。与2021年预算数0万元相比持平，原因是我单位未购置车辆。</w:t>
      </w:r>
    </w:p>
    <w:p w14:paraId="3178F634">
      <w:pPr>
        <w:keepNext w:val="0"/>
        <w:keepLines w:val="0"/>
        <w:widowControl/>
        <w:suppressLineNumbers w:val="0"/>
        <w:spacing w:before="100" w:beforeAutospacing="0" w:after="100" w:afterAutospacing="0" w:line="520" w:lineRule="atLeast"/>
        <w:ind w:left="0" w:right="0" w:firstLine="640"/>
        <w:jc w:val="left"/>
        <w:rPr>
          <w:rFonts w:hint="eastAsia" w:ascii="仿宋_GB2312" w:hAnsi="Arial" w:eastAsia="仿宋_GB2312" w:cs="仿宋_GB2312"/>
          <w:b w:val="0"/>
          <w:bCs w:val="0"/>
          <w:i w:val="0"/>
          <w:iCs w:val="0"/>
          <w:caps w:val="0"/>
          <w:color w:val="222222"/>
          <w:spacing w:val="0"/>
          <w:kern w:val="0"/>
          <w:sz w:val="32"/>
          <w:szCs w:val="32"/>
          <w:lang w:val="en-US" w:eastAsia="zh-CN" w:bidi="ar"/>
        </w:rPr>
      </w:pPr>
      <w:r>
        <w:rPr>
          <w:rFonts w:hint="eastAsia" w:ascii="仿宋_GB2312" w:hAnsi="Arial" w:eastAsia="仿宋_GB2312" w:cs="仿宋_GB2312"/>
          <w:b w:val="0"/>
          <w:bCs w:val="0"/>
          <w:i w:val="0"/>
          <w:iCs w:val="0"/>
          <w:caps w:val="0"/>
          <w:color w:val="222222"/>
          <w:spacing w:val="0"/>
          <w:kern w:val="0"/>
          <w:sz w:val="32"/>
          <w:szCs w:val="32"/>
          <w:lang w:val="en-US" w:eastAsia="zh-CN" w:bidi="ar"/>
        </w:rPr>
        <w:t>（2）公务用车运行维护费4.92万元，与2020年支出决算数1.34万元比增加3.58万元，主要为公务用车运行维护费的增加；与2021年预算8.16万元相比减少3.24万元，系车辆运行维护费减少1.88万元，招待费减少1.36万元，主要原因是去年受疫情影响，部分业务无法开展</w:t>
      </w:r>
    </w:p>
    <w:p w14:paraId="29C9462B">
      <w:pPr>
        <w:keepNext w:val="0"/>
        <w:keepLines w:val="0"/>
        <w:widowControl/>
        <w:suppressLineNumbers w:val="0"/>
        <w:spacing w:before="100" w:beforeAutospacing="0" w:after="100" w:afterAutospacing="0" w:line="52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3、公务接待支出决算数为0万元与2021年预算数相比减少1.36万元，与2020年支出决算数0万元相比无变化。主要原因：单位认真贯彻落实中央八项规定精神和厉行节约要求，进一步从严控制经费支出。</w:t>
      </w:r>
    </w:p>
    <w:p w14:paraId="0AEC5F70">
      <w:pPr>
        <w:keepNext w:val="0"/>
        <w:keepLines w:val="0"/>
        <w:widowControl/>
        <w:suppressLineNumbers w:val="0"/>
        <w:spacing w:before="0" w:beforeAutospacing="1" w:after="0" w:afterAutospacing="1" w:line="560" w:lineRule="atLeast"/>
        <w:ind w:left="0" w:right="0" w:firstLine="562"/>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八、机关运行经费执行情况说明</w:t>
      </w:r>
    </w:p>
    <w:p w14:paraId="42D72355">
      <w:pPr>
        <w:keepNext w:val="0"/>
        <w:keepLines w:val="0"/>
        <w:widowControl/>
        <w:suppressLineNumbers w:val="0"/>
        <w:spacing w:before="0" w:beforeAutospacing="1" w:after="0" w:afterAutospacing="1" w:line="560" w:lineRule="atLeast"/>
        <w:ind w:left="0" w:right="0" w:firstLine="560"/>
        <w:jc w:val="left"/>
        <w:rPr>
          <w:rFonts w:hint="default" w:ascii="Arial" w:hAnsi="Arial" w:cs="Arial"/>
          <w:i w:val="0"/>
          <w:iCs w:val="0"/>
          <w:caps w:val="0"/>
          <w:color w:val="222222"/>
          <w:spacing w:val="0"/>
          <w:sz w:val="18"/>
          <w:szCs w:val="18"/>
        </w:rPr>
      </w:pPr>
      <w:r>
        <w:rPr>
          <w:rFonts w:hint="eastAsia" w:ascii="宋体" w:hAnsi="宋体" w:eastAsia="宋体" w:cs="宋体"/>
          <w:i w:val="0"/>
          <w:iCs w:val="0"/>
          <w:caps w:val="0"/>
          <w:color w:val="222222"/>
          <w:spacing w:val="0"/>
          <w:kern w:val="0"/>
          <w:sz w:val="28"/>
          <w:szCs w:val="28"/>
          <w:lang w:val="en-US" w:eastAsia="zh-CN" w:bidi="ar"/>
        </w:rPr>
        <w:t> </w:t>
      </w:r>
      <w:r>
        <w:rPr>
          <w:rFonts w:hint="eastAsia" w:ascii="仿宋_GB2312" w:hAnsi="Arial" w:eastAsia="仿宋_GB2312" w:cs="仿宋_GB2312"/>
          <w:b w:val="0"/>
          <w:bCs w:val="0"/>
          <w:i w:val="0"/>
          <w:iCs w:val="0"/>
          <w:caps w:val="0"/>
          <w:color w:val="222222"/>
          <w:spacing w:val="0"/>
          <w:kern w:val="0"/>
          <w:sz w:val="32"/>
          <w:szCs w:val="32"/>
          <w:lang w:val="en-US" w:eastAsia="zh-CN" w:bidi="ar"/>
        </w:rPr>
        <w:t>2021年度机关运行经费529.13万元，较2020年418.89万元增加了110.24万元。与2021年预算418.53相比增加110.6万元，主要原因是人员经费及</w:t>
      </w:r>
      <w:r>
        <w:rPr>
          <w:rFonts w:hint="eastAsia" w:ascii="仿宋_GB2312" w:hAnsi="Arial" w:eastAsia="仿宋_GB2312" w:cs="仿宋_GB2312"/>
          <w:i w:val="0"/>
          <w:iCs w:val="0"/>
          <w:caps w:val="0"/>
          <w:color w:val="222222"/>
          <w:spacing w:val="0"/>
          <w:kern w:val="0"/>
          <w:sz w:val="32"/>
          <w:szCs w:val="32"/>
          <w:lang w:val="en-US" w:eastAsia="zh-CN" w:bidi="ar"/>
        </w:rPr>
        <w:t>一般公共服务支出有所增加。主要用于办公及印刷费、邮电费、差旅费、培训费、日常维修费、办公设备购置费、办公用房水电费、劳务费、委托业务费、工会经费、福利费以及其他费用。</w:t>
      </w:r>
    </w:p>
    <w:p w14:paraId="4B8B7165">
      <w:pPr>
        <w:keepNext w:val="0"/>
        <w:keepLines w:val="0"/>
        <w:widowControl/>
        <w:suppressLineNumbers w:val="0"/>
        <w:spacing w:before="0" w:beforeAutospacing="1" w:after="0" w:afterAutospacing="1" w:line="560" w:lineRule="atLeast"/>
        <w:ind w:left="0" w:right="0" w:firstLine="562"/>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九、政府采购执行情况说明</w:t>
      </w:r>
    </w:p>
    <w:p w14:paraId="097982B4">
      <w:pPr>
        <w:keepNext w:val="0"/>
        <w:keepLines w:val="0"/>
        <w:widowControl/>
        <w:suppressLineNumbers w:val="0"/>
        <w:spacing w:before="0" w:beforeAutospacing="1" w:after="0" w:afterAutospacing="1" w:line="56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2021年度我单位政府采购预算计划金额7369.87万元，其中一般公共预算11.87万元，其他资金7358万元；主要用于购买货物11.87万元，工程7058万元，服务300万元。</w:t>
      </w:r>
    </w:p>
    <w:p w14:paraId="27821137">
      <w:pPr>
        <w:keepNext w:val="0"/>
        <w:keepLines w:val="0"/>
        <w:widowControl/>
        <w:suppressLineNumbers w:val="0"/>
        <w:spacing w:before="0" w:beforeAutospacing="1" w:after="0" w:afterAutospacing="1" w:line="56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2021年度我单位政府实际采购金额711.77万元，其中一般公共预算12.56万元，其他资金0万元；主要用于购买货物45.66万元，工程578.54万元，服务87.56万元。</w:t>
      </w:r>
    </w:p>
    <w:p w14:paraId="2B9074DC">
      <w:pPr>
        <w:keepNext w:val="0"/>
        <w:keepLines w:val="0"/>
        <w:widowControl/>
        <w:suppressLineNumbers w:val="0"/>
        <w:spacing w:before="0" w:beforeAutospacing="1" w:after="0" w:afterAutospacing="1" w:line="560" w:lineRule="atLeast"/>
        <w:ind w:left="0" w:right="0" w:firstLine="562"/>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十、国有资产占用情况说明</w:t>
      </w:r>
    </w:p>
    <w:p w14:paraId="31BE8668">
      <w:pPr>
        <w:keepNext w:val="0"/>
        <w:keepLines w:val="0"/>
        <w:widowControl/>
        <w:suppressLineNumbers w:val="0"/>
        <w:spacing w:before="0" w:beforeAutospacing="1" w:after="0" w:afterAutospacing="1" w:line="56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2021年度我单位共占有车辆数0台，其中：一般公务用车0台，一般执法执勤车辆0台；单价50万元以上通用设备0台；单价100万元以上专用设备0台。其他固定资产（不包含房屋）826247元。</w:t>
      </w:r>
    </w:p>
    <w:p w14:paraId="2A729D6B">
      <w:pPr>
        <w:keepNext w:val="0"/>
        <w:keepLines w:val="0"/>
        <w:widowControl/>
        <w:suppressLineNumbers w:val="0"/>
        <w:spacing w:before="0" w:beforeAutospacing="1" w:after="0" w:afterAutospacing="1" w:line="560" w:lineRule="atLeast"/>
        <w:ind w:left="0" w:right="0" w:firstLine="562"/>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十一、其他情况</w:t>
      </w:r>
    </w:p>
    <w:p w14:paraId="5762DDCB">
      <w:pPr>
        <w:keepNext w:val="0"/>
        <w:keepLines w:val="0"/>
        <w:widowControl/>
        <w:suppressLineNumbers w:val="0"/>
        <w:spacing w:before="0" w:beforeAutospacing="1" w:after="0" w:afterAutospacing="1" w:line="560" w:lineRule="atLeast"/>
        <w:ind w:left="0" w:right="0" w:firstLine="96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老下陆街道办事处2021年无举借政府债务、无扶贫专项资金、无政府性基金预算收支、无财政专项支出、无专项转移支付。</w:t>
      </w:r>
    </w:p>
    <w:p w14:paraId="3733CECD">
      <w:pPr>
        <w:keepNext w:val="0"/>
        <w:keepLines w:val="0"/>
        <w:widowControl/>
        <w:suppressLineNumbers w:val="0"/>
        <w:spacing w:before="0" w:beforeAutospacing="1" w:after="0" w:afterAutospacing="1" w:line="560" w:lineRule="atLeast"/>
        <w:ind w:left="0" w:right="0" w:firstLine="562"/>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十二、预算绩效管理工作开展情况（重点绩效评价结果等预算绩效情况说明）</w:t>
      </w:r>
    </w:p>
    <w:p w14:paraId="11D8A940">
      <w:pPr>
        <w:keepNext w:val="0"/>
        <w:keepLines w:val="0"/>
        <w:widowControl/>
        <w:suppressLineNumbers w:val="0"/>
        <w:spacing w:before="0" w:beforeAutospacing="1" w:after="0" w:afterAutospacing="1" w:line="560" w:lineRule="atLeast"/>
        <w:ind w:left="0" w:right="0" w:firstLine="560"/>
        <w:jc w:val="left"/>
        <w:rPr>
          <w:rFonts w:hint="eastAsia" w:ascii="仿宋_GB2312" w:hAnsi="Arial" w:eastAsia="仿宋_GB2312" w:cs="仿宋_GB2312"/>
          <w:b w:val="0"/>
          <w:bCs w:val="0"/>
          <w:i w:val="0"/>
          <w:iCs w:val="0"/>
          <w:caps w:val="0"/>
          <w:color w:val="222222"/>
          <w:spacing w:val="0"/>
          <w:kern w:val="0"/>
          <w:sz w:val="32"/>
          <w:szCs w:val="32"/>
          <w:lang w:val="en-US" w:eastAsia="zh-CN" w:bidi="ar"/>
        </w:rPr>
      </w:pPr>
      <w:r>
        <w:rPr>
          <w:rFonts w:hint="eastAsia" w:ascii="宋体" w:hAnsi="宋体" w:eastAsia="宋体" w:cs="宋体"/>
          <w:i w:val="0"/>
          <w:iCs w:val="0"/>
          <w:caps w:val="0"/>
          <w:color w:val="5B9BD5"/>
          <w:spacing w:val="0"/>
          <w:kern w:val="0"/>
          <w:sz w:val="28"/>
          <w:szCs w:val="28"/>
          <w:lang w:val="en-US" w:eastAsia="zh-CN" w:bidi="ar"/>
        </w:rPr>
        <w:t>  </w:t>
      </w:r>
      <w:r>
        <w:rPr>
          <w:rFonts w:hint="eastAsia" w:ascii="仿宋_GB2312" w:hAnsi="Arial" w:eastAsia="仿宋_GB2312" w:cs="仿宋_GB2312"/>
          <w:b w:val="0"/>
          <w:bCs w:val="0"/>
          <w:i w:val="0"/>
          <w:iCs w:val="0"/>
          <w:caps w:val="0"/>
          <w:color w:val="222222"/>
          <w:spacing w:val="0"/>
          <w:kern w:val="0"/>
          <w:sz w:val="32"/>
          <w:szCs w:val="32"/>
          <w:lang w:val="en-US" w:eastAsia="zh-CN" w:bidi="ar"/>
        </w:rPr>
        <w:t>根据预算绩效管理要求，我单位组织对2021年度一般公共预算项目支出全面开展绩效自评，共涉及项目1个，资金58万元，占一般公共预算项目支出总额的100％。从评价情况来看，2021年项目绩效目标基本完成，项目立项程序完整、规范，绩效目标明确。预算编制合理，预算执行及时、有效。项目支出绩效自评结果较好，绩效管理水平不断提高，绩效指标体系建设逐渐丰富和完善。</w:t>
      </w:r>
      <w:r>
        <w:rPr>
          <w:rFonts w:hint="default" w:ascii="Arial" w:hAnsi="Arial" w:cs="Arial" w:eastAsiaTheme="minorEastAsia"/>
          <w:i w:val="0"/>
          <w:iCs w:val="0"/>
          <w:caps w:val="0"/>
          <w:color w:val="222222"/>
          <w:spacing w:val="0"/>
          <w:kern w:val="0"/>
          <w:sz w:val="18"/>
          <w:szCs w:val="18"/>
          <w:lang w:val="en-US" w:eastAsia="zh-CN" w:bidi="ar"/>
        </w:rPr>
        <w:br w:type="textWrapping"/>
      </w:r>
      <w:r>
        <w:rPr>
          <w:rFonts w:hint="eastAsia" w:ascii="仿宋_GB2312" w:hAnsi="Arial" w:eastAsia="仿宋_GB2312" w:cs="仿宋_GB2312"/>
          <w:b w:val="0"/>
          <w:bCs w:val="0"/>
          <w:i w:val="0"/>
          <w:iCs w:val="0"/>
          <w:caps w:val="0"/>
          <w:color w:val="222222"/>
          <w:spacing w:val="0"/>
          <w:kern w:val="0"/>
          <w:sz w:val="32"/>
          <w:szCs w:val="32"/>
          <w:lang w:val="en-US" w:eastAsia="zh-CN" w:bidi="ar"/>
        </w:rPr>
        <w:t>    组织开展了部门整体支出绩效评价工作，从评价情况来看，整体支出资金严格按照相关法律法规、规范性文件的规要求进行支出，预算执行总额控制在年初预算批复和预算追加额度内且有结余；产出情况良好，各项工作在预定时间内及时实施完成，绝大部分产出指标的指标值已达到年初设定目标值；项目实施效果比较明显，绝大部分效益指标的指标值已达到年初设定目标值。</w:t>
      </w:r>
      <w:r>
        <w:rPr>
          <w:rFonts w:hint="default" w:ascii="Arial" w:hAnsi="Arial" w:cs="Arial" w:eastAsiaTheme="minorEastAsia"/>
          <w:i w:val="0"/>
          <w:iCs w:val="0"/>
          <w:caps w:val="0"/>
          <w:color w:val="222222"/>
          <w:spacing w:val="0"/>
          <w:kern w:val="0"/>
          <w:sz w:val="18"/>
          <w:szCs w:val="18"/>
          <w:lang w:val="en-US" w:eastAsia="zh-CN" w:bidi="ar"/>
        </w:rPr>
        <w:br w:type="textWrapping"/>
      </w:r>
      <w:r>
        <w:rPr>
          <w:rFonts w:hint="eastAsia" w:ascii="仿宋_GB2312" w:hAnsi="Arial" w:eastAsia="仿宋_GB2312" w:cs="仿宋_GB2312"/>
          <w:b w:val="0"/>
          <w:bCs w:val="0"/>
          <w:i w:val="0"/>
          <w:iCs w:val="0"/>
          <w:caps w:val="0"/>
          <w:color w:val="222222"/>
          <w:spacing w:val="0"/>
          <w:kern w:val="0"/>
          <w:sz w:val="32"/>
          <w:szCs w:val="32"/>
          <w:lang w:val="en-US" w:eastAsia="zh-CN" w:bidi="ar"/>
        </w:rPr>
        <w:t>    我单位整体支出预算执行率为100%，执行情况评价为优，2021年部门整体支出绩效目标基本完成。组织开展部门整体支出绩效评价。</w:t>
      </w:r>
    </w:p>
    <w:tbl>
      <w:tblPr>
        <w:tblStyle w:val="3"/>
        <w:tblW w:w="10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46"/>
        <w:gridCol w:w="624"/>
        <w:gridCol w:w="659"/>
        <w:gridCol w:w="456"/>
        <w:gridCol w:w="2803"/>
        <w:gridCol w:w="2986"/>
        <w:gridCol w:w="799"/>
        <w:gridCol w:w="823"/>
        <w:gridCol w:w="944"/>
      </w:tblGrid>
      <w:tr w14:paraId="06629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10749" w:type="dxa"/>
            <w:gridSpan w:val="9"/>
            <w:tcBorders>
              <w:top w:val="nil"/>
              <w:left w:val="nil"/>
              <w:bottom w:val="nil"/>
              <w:right w:val="nil"/>
            </w:tcBorders>
            <w:shd w:val="clear" w:color="auto" w:fill="auto"/>
            <w:vAlign w:val="center"/>
          </w:tcPr>
          <w:p w14:paraId="6F5934CE">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default" w:ascii="方正小标宋简体" w:hAnsi="方正小标宋简体" w:eastAsia="方正小标宋简体" w:cs="方正小标宋简体"/>
                <w:i w:val="0"/>
                <w:iCs w:val="0"/>
                <w:color w:val="000000"/>
                <w:kern w:val="0"/>
                <w:sz w:val="36"/>
                <w:szCs w:val="36"/>
                <w:u w:val="none"/>
                <w:lang w:val="en-US" w:eastAsia="zh-CN" w:bidi="ar"/>
              </w:rPr>
              <w:t>2021年下陆区部门整体支出绩效自评表</w:t>
            </w:r>
          </w:p>
        </w:tc>
      </w:tr>
      <w:tr w14:paraId="3329A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jc w:val="center"/>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E066C6">
            <w:pPr>
              <w:keepNext w:val="0"/>
              <w:keepLines w:val="0"/>
              <w:widowControl/>
              <w:suppressLineNumbers w:val="0"/>
              <w:jc w:val="left"/>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填报单位（盖章）：</w:t>
            </w:r>
          </w:p>
        </w:tc>
        <w:tc>
          <w:tcPr>
            <w:tcW w:w="388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AFEC6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老下陆街道办事处</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2E3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填报日期：2022-11-09</w:t>
            </w:r>
          </w:p>
        </w:tc>
      </w:tr>
      <w:tr w14:paraId="2C606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1152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单位名称</w:t>
            </w:r>
          </w:p>
        </w:tc>
        <w:tc>
          <w:tcPr>
            <w:tcW w:w="68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49414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老下陆街道办事处</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FB79D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评价年度</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BB2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2020年</w:t>
            </w:r>
          </w:p>
        </w:tc>
      </w:tr>
      <w:tr w14:paraId="2395E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jc w:val="center"/>
        </w:trPr>
        <w:tc>
          <w:tcPr>
            <w:tcW w:w="23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823BBD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基本支出决算数总额</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4437">
            <w:pPr>
              <w:keepNext w:val="0"/>
              <w:keepLines w:val="0"/>
              <w:widowControl/>
              <w:suppressLineNumbers w:val="0"/>
              <w:jc w:val="righ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540.23</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C546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项目支出决算数总额</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1519F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r>
      <w:tr w14:paraId="04585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2337"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C861F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部门整体支出总额预算执行情况（万元）</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479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执行数（A）</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743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预算数（B）</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0BCA9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执行率（A/B）</w:t>
            </w:r>
          </w:p>
        </w:tc>
      </w:tr>
      <w:tr w14:paraId="3E5B1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2337"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B245A">
            <w:pPr>
              <w:jc w:val="center"/>
              <w:rPr>
                <w:rFonts w:hint="eastAsia" w:ascii="仿宋_GB2312" w:hAnsi="宋体" w:eastAsia="仿宋_GB2312" w:cs="仿宋_GB2312"/>
                <w:i w:val="0"/>
                <w:iCs w:val="0"/>
                <w:color w:val="000000"/>
                <w:sz w:val="20"/>
                <w:szCs w:val="20"/>
                <w:u w:val="none"/>
              </w:rPr>
            </w:pP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9C16">
            <w:pPr>
              <w:keepNext w:val="0"/>
              <w:keepLines w:val="0"/>
              <w:widowControl/>
              <w:suppressLineNumbers w:val="0"/>
              <w:jc w:val="righ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540.23</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961E0">
            <w:pPr>
              <w:keepNext w:val="0"/>
              <w:keepLines w:val="0"/>
              <w:widowControl/>
              <w:suppressLineNumbers w:val="0"/>
              <w:jc w:val="righ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354.78</w:t>
            </w:r>
          </w:p>
        </w:tc>
        <w:tc>
          <w:tcPr>
            <w:tcW w:w="25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660A6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1.522718304</w:t>
            </w:r>
          </w:p>
        </w:tc>
      </w:tr>
      <w:tr w14:paraId="044EC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9434">
            <w:pPr>
              <w:keepNext w:val="0"/>
              <w:keepLines w:val="0"/>
              <w:widowControl/>
              <w:suppressLineNumbers w:val="0"/>
              <w:jc w:val="center"/>
              <w:textAlignment w:val="center"/>
              <w:rPr>
                <w:rFonts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一级</w:t>
            </w:r>
            <w:r>
              <w:rPr>
                <w:rFonts w:hint="default" w:ascii="楷体_GB2312" w:hAnsi="宋体" w:eastAsia="楷体_GB2312" w:cs="楷体_GB2312"/>
                <w:b/>
                <w:bCs/>
                <w:i w:val="0"/>
                <w:iCs w:val="0"/>
                <w:color w:val="000000"/>
                <w:kern w:val="0"/>
                <w:sz w:val="20"/>
                <w:szCs w:val="20"/>
                <w:u w:val="none"/>
                <w:lang w:val="en-US" w:eastAsia="zh-CN" w:bidi="ar"/>
              </w:rPr>
              <w:br w:type="textWrapping"/>
            </w:r>
            <w:r>
              <w:rPr>
                <w:rFonts w:hint="default" w:ascii="楷体_GB2312" w:hAnsi="宋体" w:eastAsia="楷体_GB2312" w:cs="楷体_GB2312"/>
                <w:b/>
                <w:bCs/>
                <w:i w:val="0"/>
                <w:iCs w:val="0"/>
                <w:color w:val="000000"/>
                <w:kern w:val="0"/>
                <w:sz w:val="20"/>
                <w:szCs w:val="20"/>
                <w:u w:val="none"/>
                <w:lang w:val="en-US" w:eastAsia="zh-CN" w:bidi="ar"/>
              </w:rPr>
              <w:t>指标</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3CA6">
            <w:pPr>
              <w:keepNext w:val="0"/>
              <w:keepLines w:val="0"/>
              <w:widowControl/>
              <w:suppressLineNumbers w:val="0"/>
              <w:jc w:val="center"/>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二级</w:t>
            </w:r>
            <w:r>
              <w:rPr>
                <w:rFonts w:hint="default" w:ascii="楷体_GB2312" w:hAnsi="宋体" w:eastAsia="楷体_GB2312" w:cs="楷体_GB2312"/>
                <w:b/>
                <w:bCs/>
                <w:i w:val="0"/>
                <w:iCs w:val="0"/>
                <w:color w:val="000000"/>
                <w:kern w:val="0"/>
                <w:sz w:val="20"/>
                <w:szCs w:val="20"/>
                <w:u w:val="none"/>
                <w:lang w:val="en-US" w:eastAsia="zh-CN" w:bidi="ar"/>
              </w:rPr>
              <w:br w:type="textWrapping"/>
            </w:r>
            <w:r>
              <w:rPr>
                <w:rFonts w:hint="default" w:ascii="楷体_GB2312" w:hAnsi="宋体" w:eastAsia="楷体_GB2312" w:cs="楷体_GB2312"/>
                <w:b/>
                <w:bCs/>
                <w:i w:val="0"/>
                <w:iCs w:val="0"/>
                <w:color w:val="000000"/>
                <w:kern w:val="0"/>
                <w:sz w:val="20"/>
                <w:szCs w:val="20"/>
                <w:u w:val="none"/>
                <w:lang w:val="en-US" w:eastAsia="zh-CN" w:bidi="ar"/>
              </w:rPr>
              <w:t>指标</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5D1A8">
            <w:pPr>
              <w:keepNext w:val="0"/>
              <w:keepLines w:val="0"/>
              <w:widowControl/>
              <w:suppressLineNumbers w:val="0"/>
              <w:jc w:val="center"/>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三级指标</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3A65">
            <w:pPr>
              <w:keepNext w:val="0"/>
              <w:keepLines w:val="0"/>
              <w:widowControl/>
              <w:suppressLineNumbers w:val="0"/>
              <w:jc w:val="center"/>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分值</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98972">
            <w:pPr>
              <w:keepNext w:val="0"/>
              <w:keepLines w:val="0"/>
              <w:widowControl/>
              <w:suppressLineNumbers w:val="0"/>
              <w:jc w:val="center"/>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指标说明</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E3BE0">
            <w:pPr>
              <w:keepNext w:val="0"/>
              <w:keepLines w:val="0"/>
              <w:widowControl/>
              <w:suppressLineNumbers w:val="0"/>
              <w:jc w:val="center"/>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评分标准</w:t>
            </w:r>
          </w:p>
        </w:tc>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07CA">
            <w:pPr>
              <w:keepNext w:val="0"/>
              <w:keepLines w:val="0"/>
              <w:widowControl/>
              <w:suppressLineNumbers w:val="0"/>
              <w:jc w:val="center"/>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年初目标值</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E23A5">
            <w:pPr>
              <w:keepNext w:val="0"/>
              <w:keepLines w:val="0"/>
              <w:widowControl/>
              <w:suppressLineNumbers w:val="0"/>
              <w:jc w:val="center"/>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实际完成值</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4EB17">
            <w:pPr>
              <w:keepNext w:val="0"/>
              <w:keepLines w:val="0"/>
              <w:widowControl/>
              <w:suppressLineNumbers w:val="0"/>
              <w:jc w:val="center"/>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得分</w:t>
            </w:r>
          </w:p>
        </w:tc>
      </w:tr>
      <w:tr w14:paraId="17891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0" w:hRule="atLeast"/>
          <w:jc w:val="center"/>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6549AD3">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投入</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42017">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FA51">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完成率</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7AB6E">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B931">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预算完成率=（预算完成数/预算数）×100%，用以反映和考核部门（单位）预算完成程度。</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预算完成数：部门（单位）本年度实际完成的预算数。</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预算数：财政部门批复的本年度部门（单位）预算数。</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C9845">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预算完成率＝100%的，得10分。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预算完成率≥95%的，得9分。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预算完成率在90%（含）和95%之间，得8分。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预算完成率在85%（含）和90%之间，得7分。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预算完成率在80%（含）和85%之间，得6分。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预算完成率在70%（含）和80%之间，得4分。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预算完成率＜70%的，得0分。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9C80A">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228F7">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27BA10">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r>
      <w:tr w14:paraId="5AB70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0"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318A97E3">
            <w:pPr>
              <w:jc w:val="center"/>
              <w:rPr>
                <w:rFonts w:hint="default" w:ascii="楷体_GB2312" w:hAnsi="宋体" w:eastAsia="楷体_GB2312" w:cs="楷体_GB2312"/>
                <w:i w:val="0"/>
                <w:iCs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E6539">
            <w:pPr>
              <w:jc w:val="center"/>
              <w:rPr>
                <w:rFonts w:hint="default" w:ascii="楷体_GB2312" w:hAnsi="宋体" w:eastAsia="楷体_GB2312" w:cs="楷体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699DD">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预算调整率</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CF502">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9E3B">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预算调整率=（预算调整数/预算数）×100%，用以反映和考核部门（单位）预算的调整程度。</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预算包括一般公共预算与政府性基金预算。</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82BD">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预算调整率绝对值≤5%，得10分。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预算调整率绝对值＞5%的，每增加0.1个百分点扣0.1分，扣完为止。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44E4C">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57FBD">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12DF2">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r>
      <w:tr w14:paraId="7910C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6D47062">
            <w:pPr>
              <w:jc w:val="center"/>
              <w:rPr>
                <w:rFonts w:hint="default" w:ascii="楷体_GB2312" w:hAnsi="宋体" w:eastAsia="楷体_GB2312" w:cs="楷体_GB2312"/>
                <w:i w:val="0"/>
                <w:iCs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765114">
            <w:pPr>
              <w:jc w:val="center"/>
              <w:rPr>
                <w:rFonts w:hint="default" w:ascii="楷体_GB2312" w:hAnsi="宋体" w:eastAsia="楷体_GB2312" w:cs="楷体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1BE2">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支出进度率</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CFE9">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F03A">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支出进度率=（实际支出/支出预算）×100%，用以反映和考核部门（单位）预算执行的及时性和均衡性程度。</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半年支出进度＝部门上半年实际支出/（上年结余结转+本年部门预算安排+上半年执行中追加追减）*100%。</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前三季度支出进度＝部门前三季度实际支出/（上年结余结转+本年部门预算安排+前三季度执行中追加追减）*100%。</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9402">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半年进度：进度率≥45%，得4分；进度率在40%（含）和45%之间，得2分；进度率＜40%，得0分。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前三季度进度：进度率≥75%，得6分；进度率在60%（含）和75%之间，得4分；进度率＜60%，得0分。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C33D6">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C2BBE">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840F3">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r>
      <w:tr w14:paraId="6662E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jc w:val="center"/>
        </w:trPr>
        <w:tc>
          <w:tcPr>
            <w:tcW w:w="648"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61B584C">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投入</w:t>
            </w:r>
          </w:p>
        </w:tc>
        <w:tc>
          <w:tcPr>
            <w:tcW w:w="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D3C2">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预算执行（35分）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746D">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预算编制准确率（5分）</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A0D0">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3149">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部门预算中除财政拨款外的其他收入预算与决算差异率。</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预算编制准确率＝其他收入决算数/其他收入预算数×100%-100%。</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9868">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预算编制准确率≤20%，得5分。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预算编制准确率在20%和40%（含）之间，得3分。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预算编制准确率＞40%，得0分。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2C53C">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C9F1B">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39E8A5">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r>
      <w:tr w14:paraId="42518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827D3D4">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过程</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A09BCB">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预算管理（20分）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4CA1">
            <w:pPr>
              <w:keepNext w:val="0"/>
              <w:keepLines w:val="0"/>
              <w:widowControl/>
              <w:suppressLineNumbers w:val="0"/>
              <w:jc w:val="center"/>
              <w:textAlignment w:val="center"/>
              <w:rPr>
                <w:rFonts w:hint="eastAsia" w:ascii="楷体_GB2312" w:hAnsi="宋体" w:eastAsia="楷体_GB2312" w:cs="楷体_GB2312"/>
                <w:i w:val="0"/>
                <w:iCs w:val="0"/>
                <w:color w:val="000000"/>
                <w:kern w:val="0"/>
                <w:sz w:val="20"/>
                <w:szCs w:val="20"/>
                <w:u w:val="none"/>
                <w:lang w:val="en-US" w:eastAsia="zh-CN" w:bidi="ar"/>
              </w:rPr>
            </w:pPr>
            <w:r>
              <w:rPr>
                <w:rFonts w:hint="eastAsia" w:ascii="楷体_GB2312" w:hAnsi="宋体" w:eastAsia="楷体_GB2312" w:cs="楷体_GB2312"/>
                <w:i w:val="0"/>
                <w:iCs w:val="0"/>
                <w:color w:val="000000"/>
                <w:kern w:val="0"/>
                <w:sz w:val="20"/>
                <w:szCs w:val="20"/>
                <w:u w:val="none"/>
                <w:lang w:val="en-US" w:eastAsia="zh-CN" w:bidi="ar"/>
              </w:rPr>
              <w:t>“三公”经费</w:t>
            </w:r>
          </w:p>
          <w:p w14:paraId="46A228DE">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控制率</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14748">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80932">
            <w:pPr>
              <w:keepNext w:val="0"/>
              <w:keepLines w:val="0"/>
              <w:widowControl/>
              <w:suppressLineNumbers w:val="0"/>
              <w:jc w:val="left"/>
              <w:textAlignment w:val="center"/>
              <w:rPr>
                <w:rFonts w:hint="eastAsia" w:ascii="楷体_GB2312" w:hAnsi="宋体" w:eastAsia="楷体_GB2312" w:cs="楷体_GB2312"/>
                <w:i w:val="0"/>
                <w:iCs w:val="0"/>
                <w:color w:val="000000"/>
                <w:kern w:val="0"/>
                <w:sz w:val="20"/>
                <w:szCs w:val="20"/>
                <w:u w:val="none"/>
                <w:lang w:val="en-US" w:eastAsia="zh-CN" w:bidi="ar"/>
              </w:rPr>
            </w:pPr>
            <w:r>
              <w:rPr>
                <w:rFonts w:hint="eastAsia" w:ascii="楷体_GB2312" w:hAnsi="宋体" w:eastAsia="楷体_GB2312" w:cs="楷体_GB2312"/>
                <w:i w:val="0"/>
                <w:iCs w:val="0"/>
                <w:color w:val="000000"/>
                <w:kern w:val="0"/>
                <w:sz w:val="20"/>
                <w:szCs w:val="20"/>
                <w:u w:val="none"/>
                <w:lang w:val="en-US" w:eastAsia="zh-CN" w:bidi="ar"/>
              </w:rPr>
              <w:t>“三公”经费</w:t>
            </w:r>
          </w:p>
          <w:p w14:paraId="4983BF2F">
            <w:pPr>
              <w:keepNext w:val="0"/>
              <w:keepLines w:val="0"/>
              <w:widowControl/>
              <w:suppressLineNumbers w:val="0"/>
              <w:jc w:val="left"/>
              <w:textAlignment w:val="center"/>
              <w:rPr>
                <w:rFonts w:hint="eastAsia" w:ascii="楷体_GB2312" w:hAnsi="宋体" w:eastAsia="楷体_GB2312" w:cs="楷体_GB2312"/>
                <w:i w:val="0"/>
                <w:iCs w:val="0"/>
                <w:color w:val="000000"/>
                <w:kern w:val="0"/>
                <w:sz w:val="20"/>
                <w:szCs w:val="20"/>
                <w:u w:val="none"/>
                <w:lang w:val="en-US" w:eastAsia="zh-CN" w:bidi="ar"/>
              </w:rPr>
            </w:pPr>
            <w:r>
              <w:rPr>
                <w:rFonts w:hint="default" w:ascii="楷体_GB2312" w:hAnsi="宋体" w:eastAsia="楷体_GB2312" w:cs="楷体_GB2312"/>
                <w:i w:val="0"/>
                <w:iCs w:val="0"/>
                <w:color w:val="000000"/>
                <w:kern w:val="0"/>
                <w:sz w:val="20"/>
                <w:szCs w:val="20"/>
                <w:u w:val="none"/>
                <w:lang w:val="en-US" w:eastAsia="zh-CN" w:bidi="ar"/>
              </w:rPr>
              <w:t>控制率=（</w:t>
            </w:r>
            <w:r>
              <w:rPr>
                <w:rFonts w:hint="eastAsia" w:ascii="楷体_GB2312" w:hAnsi="宋体" w:eastAsia="楷体_GB2312" w:cs="楷体_GB2312"/>
                <w:i w:val="0"/>
                <w:iCs w:val="0"/>
                <w:color w:val="000000"/>
                <w:kern w:val="0"/>
                <w:sz w:val="20"/>
                <w:szCs w:val="20"/>
                <w:u w:val="none"/>
                <w:lang w:val="en-US" w:eastAsia="zh-CN" w:bidi="ar"/>
              </w:rPr>
              <w:t>“三公”经费</w:t>
            </w:r>
          </w:p>
          <w:p w14:paraId="312DF637">
            <w:pPr>
              <w:keepNext w:val="0"/>
              <w:keepLines w:val="0"/>
              <w:widowControl/>
              <w:suppressLineNumbers w:val="0"/>
              <w:jc w:val="left"/>
              <w:textAlignment w:val="center"/>
              <w:rPr>
                <w:rFonts w:hint="eastAsia" w:ascii="楷体_GB2312" w:hAnsi="宋体" w:eastAsia="楷体_GB2312" w:cs="楷体_GB2312"/>
                <w:i w:val="0"/>
                <w:iCs w:val="0"/>
                <w:color w:val="000000"/>
                <w:kern w:val="0"/>
                <w:sz w:val="20"/>
                <w:szCs w:val="20"/>
                <w:u w:val="none"/>
                <w:lang w:val="en-US" w:eastAsia="zh-CN" w:bidi="ar"/>
              </w:rPr>
            </w:pPr>
            <w:r>
              <w:rPr>
                <w:rFonts w:hint="default" w:ascii="楷体_GB2312" w:hAnsi="宋体" w:eastAsia="楷体_GB2312" w:cs="楷体_GB2312"/>
                <w:i w:val="0"/>
                <w:iCs w:val="0"/>
                <w:color w:val="000000"/>
                <w:kern w:val="0"/>
                <w:sz w:val="20"/>
                <w:szCs w:val="20"/>
                <w:u w:val="none"/>
                <w:lang w:val="en-US" w:eastAsia="zh-CN" w:bidi="ar"/>
              </w:rPr>
              <w:t>实际支出数/</w:t>
            </w:r>
            <w:r>
              <w:rPr>
                <w:rFonts w:hint="eastAsia" w:ascii="楷体_GB2312" w:hAnsi="宋体" w:eastAsia="楷体_GB2312" w:cs="楷体_GB2312"/>
                <w:i w:val="0"/>
                <w:iCs w:val="0"/>
                <w:color w:val="000000"/>
                <w:kern w:val="0"/>
                <w:sz w:val="20"/>
                <w:szCs w:val="20"/>
                <w:u w:val="none"/>
                <w:lang w:val="en-US" w:eastAsia="zh-CN" w:bidi="ar"/>
              </w:rPr>
              <w:t>“三公”经费</w:t>
            </w:r>
          </w:p>
          <w:p w14:paraId="0FFC9BB6">
            <w:pPr>
              <w:keepNext w:val="0"/>
              <w:keepLines w:val="0"/>
              <w:widowControl/>
              <w:suppressLineNumbers w:val="0"/>
              <w:jc w:val="left"/>
              <w:textAlignment w:val="center"/>
              <w:rPr>
                <w:rFonts w:hint="eastAsia" w:ascii="楷体_GB2312" w:hAnsi="宋体" w:eastAsia="楷体_GB2312" w:cs="楷体_GB2312"/>
                <w:i w:val="0"/>
                <w:iCs w:val="0"/>
                <w:color w:val="000000"/>
                <w:kern w:val="0"/>
                <w:sz w:val="20"/>
                <w:szCs w:val="20"/>
                <w:u w:val="none"/>
                <w:lang w:val="en-US" w:eastAsia="zh-CN" w:bidi="ar"/>
              </w:rPr>
            </w:pPr>
            <w:r>
              <w:rPr>
                <w:rFonts w:hint="default" w:ascii="楷体_GB2312" w:hAnsi="宋体" w:eastAsia="楷体_GB2312" w:cs="楷体_GB2312"/>
                <w:i w:val="0"/>
                <w:iCs w:val="0"/>
                <w:color w:val="000000"/>
                <w:kern w:val="0"/>
                <w:sz w:val="20"/>
                <w:szCs w:val="20"/>
                <w:u w:val="none"/>
                <w:lang w:val="en-US" w:eastAsia="zh-CN" w:bidi="ar"/>
              </w:rPr>
              <w:t>预算安排数）×100%，用以反映和考核部门（单位）对</w:t>
            </w:r>
            <w:r>
              <w:rPr>
                <w:rFonts w:hint="eastAsia" w:ascii="楷体_GB2312" w:hAnsi="宋体" w:eastAsia="楷体_GB2312" w:cs="楷体_GB2312"/>
                <w:i w:val="0"/>
                <w:iCs w:val="0"/>
                <w:color w:val="000000"/>
                <w:kern w:val="0"/>
                <w:sz w:val="20"/>
                <w:szCs w:val="20"/>
                <w:u w:val="none"/>
                <w:lang w:val="en-US" w:eastAsia="zh-CN" w:bidi="ar"/>
              </w:rPr>
              <w:t>“三公”经费</w:t>
            </w:r>
          </w:p>
          <w:p w14:paraId="7396CC76">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的实际控制程度。</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6E19F">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三公经费控制率 ≤100%，得5分，每增加0.1个百分点扣0.5分，扣完为止。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22B70C">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66F94">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4</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3E4A3">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4</w:t>
            </w:r>
          </w:p>
        </w:tc>
      </w:tr>
      <w:tr w14:paraId="02422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3BFBE22">
            <w:pPr>
              <w:jc w:val="center"/>
              <w:rPr>
                <w:rFonts w:hint="default" w:ascii="楷体_GB2312" w:hAnsi="宋体" w:eastAsia="楷体_GB2312" w:cs="楷体_GB2312"/>
                <w:i w:val="0"/>
                <w:iCs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85B42">
            <w:pPr>
              <w:jc w:val="center"/>
              <w:rPr>
                <w:rFonts w:hint="default" w:ascii="楷体_GB2312" w:hAnsi="宋体" w:eastAsia="楷体_GB2312" w:cs="楷体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DC514">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资产管理规范性</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（5分）</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B641">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6C98">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部门（单位）资产管理是否规范，用以反映和考核部门（单位）资产管理情况。</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1.新增资产配置按预算执行。</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2.资产有偿使用、处置按规定程序审批。</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3.资产收益及时、足额上缴财政。</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9E9D">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全部符合5分，有1项不符扣2分,扣完为止。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B2572">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D6E5B">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23F41">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r>
      <w:tr w14:paraId="3E12A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0"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77ADDC62">
            <w:pPr>
              <w:jc w:val="center"/>
              <w:rPr>
                <w:rFonts w:hint="default" w:ascii="楷体_GB2312" w:hAnsi="宋体" w:eastAsia="楷体_GB2312" w:cs="楷体_GB2312"/>
                <w:i w:val="0"/>
                <w:iCs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77997D">
            <w:pPr>
              <w:jc w:val="center"/>
              <w:rPr>
                <w:rFonts w:hint="default" w:ascii="楷体_GB2312" w:hAnsi="宋体" w:eastAsia="楷体_GB2312" w:cs="楷体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FD7C">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资金使用合规性</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（10分）</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08FA2">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6A4C8">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1.符合国家财经法规和财务管理制度规定以及有关专项资金管理办法的规定；</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2.资金的拨付有完整的审批程序和手续；</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3.重大项目开支经过评估论证；</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4.符合部门预算批复的用途；</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5.不存在截留、挤占、挪用、虚列支出等情况。</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8838">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全部符合10分,有1项不符扣2分，扣完为止。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9EF1F3">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83D60">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B8EE5">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r>
      <w:tr w14:paraId="6B849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6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F85B91">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效</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果</w:t>
            </w:r>
          </w:p>
        </w:tc>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6F500C">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运行效益（45分）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7A71">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行政运行经济性</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5C89">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6B29">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现行行政运行经费支出预算编制方法的行政运行成本。</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418F">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可使行政运行成本最经济为5分，可使行政运行成本较合理为3分，一般为2分，不合理为0分。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F2399">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951E3B">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56B091">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r>
      <w:tr w14:paraId="70D1F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5CFDB">
            <w:pPr>
              <w:jc w:val="center"/>
              <w:rPr>
                <w:rFonts w:hint="default" w:ascii="楷体_GB2312" w:hAnsi="宋体" w:eastAsia="楷体_GB2312" w:cs="楷体_GB2312"/>
                <w:i w:val="0"/>
                <w:iCs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2C6C44">
            <w:pPr>
              <w:jc w:val="center"/>
              <w:rPr>
                <w:rFonts w:hint="default" w:ascii="楷体_GB2312" w:hAnsi="宋体" w:eastAsia="楷体_GB2312" w:cs="楷体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D02D8">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行政运行有效性</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BDCCE">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A5C2">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行政运行经费支出能否保障部门正常运行。</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6049E">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正常运行的得5分，基本正常得3分，不能正常运行的不得分。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043E5B">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B8534">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32BB3A">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r>
      <w:tr w14:paraId="0B0F9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53F227">
            <w:pPr>
              <w:jc w:val="center"/>
              <w:rPr>
                <w:rFonts w:hint="default" w:ascii="楷体_GB2312" w:hAnsi="宋体" w:eastAsia="楷体_GB2312" w:cs="楷体_GB2312"/>
                <w:i w:val="0"/>
                <w:iCs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A87284">
            <w:pPr>
              <w:jc w:val="center"/>
              <w:rPr>
                <w:rFonts w:hint="default" w:ascii="楷体_GB2312" w:hAnsi="宋体" w:eastAsia="楷体_GB2312" w:cs="楷体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E5A3">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专项运行经济效益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0A36">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E252">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项目资金运行产生的经济效益</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B80F">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经济效益显著得10分；一般得5分，下降不得分。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F654E">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8</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BB169E">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8</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31306">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8</w:t>
            </w:r>
          </w:p>
        </w:tc>
      </w:tr>
      <w:tr w14:paraId="7A911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B4E44">
            <w:pPr>
              <w:jc w:val="center"/>
              <w:rPr>
                <w:rFonts w:hint="default" w:ascii="楷体_GB2312" w:hAnsi="宋体" w:eastAsia="楷体_GB2312" w:cs="楷体_GB2312"/>
                <w:i w:val="0"/>
                <w:iCs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3E8CDD">
            <w:pPr>
              <w:jc w:val="center"/>
              <w:rPr>
                <w:rFonts w:hint="default" w:ascii="楷体_GB2312" w:hAnsi="宋体" w:eastAsia="楷体_GB2312" w:cs="楷体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1D76">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专项运行社会效益</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5FCA7">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10</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41F24">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项目资金运行产生的社会效益</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0DD6">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社会效益显著得10分；一般得5分；否则不得分。</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EE1379">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4321F">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8</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AC387">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8</w:t>
            </w:r>
          </w:p>
        </w:tc>
      </w:tr>
      <w:tr w14:paraId="7AB0F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jc w:val="center"/>
        </w:trPr>
        <w:tc>
          <w:tcPr>
            <w:tcW w:w="6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B51F21">
            <w:pPr>
              <w:jc w:val="center"/>
              <w:rPr>
                <w:rFonts w:hint="default" w:ascii="楷体_GB2312" w:hAnsi="宋体" w:eastAsia="楷体_GB2312" w:cs="楷体_GB2312"/>
                <w:i w:val="0"/>
                <w:iCs w:val="0"/>
                <w:color w:val="000000"/>
                <w:sz w:val="20"/>
                <w:szCs w:val="20"/>
                <w:u w:val="none"/>
              </w:rPr>
            </w:pPr>
          </w:p>
        </w:tc>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C23C58">
            <w:pPr>
              <w:jc w:val="center"/>
              <w:rPr>
                <w:rFonts w:hint="default" w:ascii="楷体_GB2312" w:hAnsi="宋体" w:eastAsia="楷体_GB2312" w:cs="楷体_GB2312"/>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5808">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专项运行可持续影响</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3B2C">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15</w:t>
            </w:r>
          </w:p>
        </w:tc>
        <w:tc>
          <w:tcPr>
            <w:tcW w:w="2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32BF">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1.项目完成后有经费安排能满足项目持续运行需要；</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2.项目完成后有制度保障项目持续运行需要；</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3.项目完成后有明确的项目管理机构、负责人对项目后继管理负责，满足持续运行需要。</w:t>
            </w:r>
          </w:p>
        </w:tc>
        <w:tc>
          <w:tcPr>
            <w:tcW w:w="3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FF29">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全部符合15分,有1项不符扣5分，扣完为止。</w:t>
            </w:r>
          </w:p>
        </w:tc>
        <w:tc>
          <w:tcPr>
            <w:tcW w:w="8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FD9ED">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15</w:t>
            </w:r>
          </w:p>
        </w:tc>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F120E">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12</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FB249">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12</w:t>
            </w:r>
          </w:p>
        </w:tc>
      </w:tr>
      <w:tr w14:paraId="5F801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816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0B4FFA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评价结论（优、良、中、差）：</w:t>
            </w:r>
          </w:p>
        </w:tc>
        <w:tc>
          <w:tcPr>
            <w:tcW w:w="16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53F6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D98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r>
    </w:tbl>
    <w:p w14:paraId="5658C899">
      <w:pPr>
        <w:spacing w:before="105" w:line="219" w:lineRule="auto"/>
        <w:ind w:left="2091"/>
        <w:rPr>
          <w:rFonts w:hint="eastAsia" w:ascii="宋体" w:hAnsi="宋体" w:eastAsia="宋体" w:cs="宋体"/>
          <w:b/>
          <w:bCs/>
          <w:spacing w:val="17"/>
          <w:sz w:val="43"/>
          <w:szCs w:val="43"/>
          <w:lang w:val="en-US" w:eastAsia="zh-CN"/>
        </w:rPr>
      </w:pPr>
    </w:p>
    <w:p w14:paraId="1247F8CC">
      <w:pPr>
        <w:spacing w:before="105" w:line="219" w:lineRule="auto"/>
        <w:ind w:left="2091"/>
        <w:rPr>
          <w:rFonts w:hint="eastAsia" w:ascii="宋体" w:hAnsi="宋体" w:eastAsia="宋体" w:cs="宋体"/>
          <w:b/>
          <w:bCs/>
          <w:spacing w:val="17"/>
          <w:sz w:val="43"/>
          <w:szCs w:val="43"/>
          <w:lang w:val="en-US" w:eastAsia="zh-CN"/>
        </w:rPr>
      </w:pPr>
    </w:p>
    <w:p w14:paraId="570EE080">
      <w:pPr>
        <w:spacing w:before="105" w:line="219" w:lineRule="auto"/>
        <w:ind w:left="2091"/>
        <w:rPr>
          <w:rFonts w:ascii="宋体" w:hAnsi="宋体" w:eastAsia="宋体" w:cs="宋体"/>
          <w:sz w:val="43"/>
          <w:szCs w:val="43"/>
        </w:rPr>
      </w:pPr>
      <w:r>
        <w:rPr>
          <w:rFonts w:hint="eastAsia" w:ascii="宋体" w:hAnsi="宋体" w:eastAsia="宋体" w:cs="宋体"/>
          <w:b/>
          <w:bCs/>
          <w:spacing w:val="17"/>
          <w:sz w:val="43"/>
          <w:szCs w:val="43"/>
          <w:lang w:val="en-US" w:eastAsia="zh-CN"/>
        </w:rPr>
        <w:t>2021</w:t>
      </w:r>
      <w:r>
        <w:rPr>
          <w:rFonts w:ascii="宋体" w:hAnsi="宋体" w:eastAsia="宋体" w:cs="宋体"/>
          <w:b/>
          <w:bCs/>
          <w:spacing w:val="17"/>
          <w:sz w:val="43"/>
          <w:szCs w:val="43"/>
        </w:rPr>
        <w:t>年度</w:t>
      </w:r>
      <w:r>
        <w:rPr>
          <w:rFonts w:hint="eastAsia" w:ascii="宋体" w:hAnsi="宋体" w:eastAsia="宋体" w:cs="宋体"/>
          <w:b/>
          <w:bCs/>
          <w:spacing w:val="17"/>
          <w:sz w:val="43"/>
          <w:szCs w:val="43"/>
          <w:lang w:val="en-US" w:eastAsia="zh-CN"/>
        </w:rPr>
        <w:t>社会事务</w:t>
      </w:r>
      <w:r>
        <w:rPr>
          <w:rFonts w:ascii="宋体" w:hAnsi="宋体" w:eastAsia="宋体" w:cs="宋体"/>
          <w:b/>
          <w:bCs/>
          <w:spacing w:val="17"/>
          <w:sz w:val="43"/>
          <w:szCs w:val="43"/>
        </w:rPr>
        <w:t>项目自评表</w:t>
      </w:r>
    </w:p>
    <w:p w14:paraId="4B6918BF">
      <w:pPr>
        <w:spacing w:before="63" w:line="226" w:lineRule="auto"/>
        <w:ind w:left="239"/>
        <w:rPr>
          <w:rFonts w:ascii="楷体" w:hAnsi="楷体" w:eastAsia="楷体" w:cs="楷体"/>
          <w:sz w:val="30"/>
          <w:szCs w:val="30"/>
        </w:rPr>
      </w:pPr>
      <w:r>
        <w:rPr>
          <w:rFonts w:ascii="楷体" w:hAnsi="楷体" w:eastAsia="楷体" w:cs="楷体"/>
          <w:b/>
          <w:bCs/>
          <w:spacing w:val="13"/>
          <w:position w:val="1"/>
          <w:sz w:val="30"/>
          <w:szCs w:val="30"/>
        </w:rPr>
        <w:t>项目单位(盖章):</w:t>
      </w:r>
      <w:r>
        <w:rPr>
          <w:rFonts w:ascii="楷体" w:hAnsi="楷体" w:eastAsia="楷体" w:cs="楷体"/>
          <w:spacing w:val="3"/>
          <w:position w:val="1"/>
          <w:sz w:val="30"/>
          <w:szCs w:val="30"/>
        </w:rPr>
        <w:t xml:space="preserve">               </w:t>
      </w:r>
      <w:r>
        <w:rPr>
          <w:rFonts w:hint="eastAsia" w:ascii="楷体" w:hAnsi="楷体" w:eastAsia="楷体" w:cs="楷体"/>
          <w:spacing w:val="3"/>
          <w:position w:val="1"/>
          <w:sz w:val="30"/>
          <w:szCs w:val="30"/>
          <w:lang w:val="en-US" w:eastAsia="zh-CN"/>
        </w:rPr>
        <w:t xml:space="preserve">     </w:t>
      </w:r>
      <w:r>
        <w:rPr>
          <w:rFonts w:ascii="楷体" w:hAnsi="楷体" w:eastAsia="楷体" w:cs="楷体"/>
          <w:b/>
          <w:bCs/>
          <w:spacing w:val="13"/>
          <w:position w:val="-1"/>
          <w:sz w:val="30"/>
          <w:szCs w:val="30"/>
        </w:rPr>
        <w:t>主要领导签字：</w:t>
      </w:r>
    </w:p>
    <w:p w14:paraId="0331FFD8">
      <w:pPr>
        <w:spacing w:before="63" w:line="226" w:lineRule="auto"/>
        <w:ind w:left="239"/>
        <w:rPr>
          <w:rFonts w:ascii="楷体" w:hAnsi="楷体" w:eastAsia="楷体" w:cs="楷体"/>
          <w:b/>
          <w:bCs/>
          <w:spacing w:val="13"/>
          <w:position w:val="1"/>
          <w:sz w:val="30"/>
          <w:szCs w:val="30"/>
        </w:rPr>
      </w:pPr>
      <w:r>
        <w:rPr>
          <w:rFonts w:ascii="楷体" w:hAnsi="楷体" w:eastAsia="楷体" w:cs="楷体"/>
          <w:b/>
          <w:bCs/>
          <w:spacing w:val="13"/>
          <w:position w:val="1"/>
          <w:sz w:val="30"/>
          <w:szCs w:val="30"/>
        </w:rPr>
        <w:t>填报日期：</w:t>
      </w:r>
    </w:p>
    <w:p w14:paraId="1D16495F">
      <w:pPr>
        <w:spacing w:line="36" w:lineRule="auto"/>
        <w:rPr>
          <w:rFonts w:ascii="Arial"/>
          <w:sz w:val="2"/>
        </w:rPr>
      </w:pPr>
    </w:p>
    <w:tbl>
      <w:tblPr>
        <w:tblStyle w:val="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369"/>
        <w:gridCol w:w="1458"/>
        <w:gridCol w:w="689"/>
        <w:gridCol w:w="629"/>
        <w:gridCol w:w="884"/>
      </w:tblGrid>
      <w:tr w14:paraId="4649A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242CE567">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8"/>
            <w:noWrap w:val="0"/>
            <w:vAlign w:val="top"/>
          </w:tcPr>
          <w:p w14:paraId="413BF572">
            <w:pPr>
              <w:rPr>
                <w:rFonts w:ascii="Arial"/>
                <w:sz w:val="21"/>
              </w:rPr>
            </w:pPr>
            <w:r>
              <w:rPr>
                <w:rFonts w:hint="eastAsia" w:ascii="Arial"/>
                <w:sz w:val="21"/>
              </w:rPr>
              <w:t>社会事务专项</w:t>
            </w:r>
          </w:p>
        </w:tc>
      </w:tr>
      <w:tr w14:paraId="73FEA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7CAE23B2">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top"/>
          </w:tcPr>
          <w:p w14:paraId="3698BE2F">
            <w:pPr>
              <w:rPr>
                <w:rFonts w:hint="default" w:ascii="Arial" w:eastAsia="宋体"/>
                <w:sz w:val="21"/>
                <w:lang w:val="en-US" w:eastAsia="zh-CN"/>
              </w:rPr>
            </w:pPr>
            <w:r>
              <w:rPr>
                <w:rFonts w:hint="eastAsia" w:ascii="Arial"/>
                <w:sz w:val="21"/>
                <w:lang w:val="en-US" w:eastAsia="zh-CN"/>
              </w:rPr>
              <w:t>党政办</w:t>
            </w:r>
          </w:p>
        </w:tc>
        <w:tc>
          <w:tcPr>
            <w:tcW w:w="2516" w:type="dxa"/>
            <w:gridSpan w:val="3"/>
            <w:noWrap w:val="0"/>
            <w:vAlign w:val="top"/>
          </w:tcPr>
          <w:p w14:paraId="00D746B5">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1A1A154B">
            <w:pPr>
              <w:rPr>
                <w:rFonts w:hint="eastAsia" w:ascii="Arial" w:eastAsia="宋体"/>
                <w:sz w:val="21"/>
                <w:lang w:val="en-US" w:eastAsia="zh-CN"/>
              </w:rPr>
            </w:pPr>
            <w:r>
              <w:rPr>
                <w:rFonts w:hint="eastAsia" w:ascii="Arial"/>
                <w:sz w:val="21"/>
                <w:lang w:val="en-US" w:eastAsia="zh-CN"/>
              </w:rPr>
              <w:t>老街办</w:t>
            </w:r>
          </w:p>
        </w:tc>
      </w:tr>
      <w:tr w14:paraId="3F202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10144D2B">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8"/>
            <w:noWrap w:val="0"/>
            <w:vAlign w:val="top"/>
          </w:tcPr>
          <w:p w14:paraId="5CDB0A74">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62B3C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3606EF91">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8"/>
            <w:noWrap w:val="0"/>
            <w:vAlign w:val="top"/>
          </w:tcPr>
          <w:p w14:paraId="38030D80">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6F3E6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30011972">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8"/>
            <w:noWrap w:val="0"/>
            <w:vAlign w:val="top"/>
          </w:tcPr>
          <w:p w14:paraId="13C6C944">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26DD1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491170BF">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30FD9F57">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31F1A33D">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14:paraId="63A0B9C8">
            <w:pPr>
              <w:rPr>
                <w:rFonts w:ascii="Arial"/>
                <w:sz w:val="21"/>
              </w:rPr>
            </w:pPr>
          </w:p>
        </w:tc>
        <w:tc>
          <w:tcPr>
            <w:tcW w:w="1329" w:type="dxa"/>
            <w:noWrap w:val="0"/>
            <w:vAlign w:val="top"/>
          </w:tcPr>
          <w:p w14:paraId="1482369F">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1CEE500C">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136E1E3A">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5B02AF70">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3BC30C24">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47A217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40437BCA">
            <w:pPr>
              <w:rPr>
                <w:rFonts w:ascii="Arial"/>
                <w:sz w:val="21"/>
              </w:rPr>
            </w:pPr>
          </w:p>
        </w:tc>
        <w:tc>
          <w:tcPr>
            <w:tcW w:w="1119" w:type="dxa"/>
            <w:noWrap w:val="0"/>
            <w:vAlign w:val="top"/>
          </w:tcPr>
          <w:p w14:paraId="4E11AF88">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4CC567AA">
            <w:pPr>
              <w:rPr>
                <w:rFonts w:hint="default" w:ascii="Arial" w:eastAsia="宋体"/>
                <w:sz w:val="21"/>
                <w:lang w:val="en-US" w:eastAsia="zh-CN"/>
              </w:rPr>
            </w:pPr>
            <w:r>
              <w:rPr>
                <w:rFonts w:hint="eastAsia" w:ascii="Arial" w:eastAsia="宋体"/>
                <w:sz w:val="21"/>
                <w:lang w:val="en-US" w:eastAsia="zh-CN"/>
              </w:rPr>
              <w:t>53</w:t>
            </w:r>
          </w:p>
        </w:tc>
        <w:tc>
          <w:tcPr>
            <w:tcW w:w="1318" w:type="dxa"/>
            <w:gridSpan w:val="2"/>
            <w:noWrap w:val="0"/>
            <w:vAlign w:val="top"/>
          </w:tcPr>
          <w:p w14:paraId="27D44096">
            <w:pPr>
              <w:rPr>
                <w:rFonts w:hint="default" w:ascii="Arial" w:eastAsia="宋体"/>
                <w:sz w:val="21"/>
                <w:lang w:val="en-US" w:eastAsia="zh-CN"/>
              </w:rPr>
            </w:pPr>
            <w:r>
              <w:rPr>
                <w:rFonts w:hint="eastAsia" w:ascii="Arial" w:eastAsia="宋体"/>
                <w:sz w:val="21"/>
                <w:lang w:val="en-US" w:eastAsia="zh-CN"/>
              </w:rPr>
              <w:t>53</w:t>
            </w:r>
          </w:p>
        </w:tc>
        <w:tc>
          <w:tcPr>
            <w:tcW w:w="1458" w:type="dxa"/>
            <w:noWrap w:val="0"/>
            <w:vAlign w:val="top"/>
          </w:tcPr>
          <w:p w14:paraId="2B35C5B2">
            <w:pPr>
              <w:rPr>
                <w:rFonts w:hint="default" w:ascii="Arial" w:eastAsia="宋体"/>
                <w:sz w:val="21"/>
                <w:lang w:val="en-US" w:eastAsia="zh-CN"/>
              </w:rPr>
            </w:pPr>
            <w:r>
              <w:rPr>
                <w:rFonts w:hint="eastAsia" w:ascii="Arial"/>
                <w:sz w:val="21"/>
                <w:lang w:val="en-US" w:eastAsia="zh-CN"/>
              </w:rPr>
              <w:t>100%</w:t>
            </w:r>
          </w:p>
        </w:tc>
        <w:tc>
          <w:tcPr>
            <w:tcW w:w="2202" w:type="dxa"/>
            <w:gridSpan w:val="3"/>
            <w:noWrap w:val="0"/>
            <w:vAlign w:val="top"/>
          </w:tcPr>
          <w:p w14:paraId="7763ED8C">
            <w:pPr>
              <w:rPr>
                <w:rFonts w:hint="default" w:ascii="Arial" w:eastAsia="宋体"/>
                <w:sz w:val="21"/>
                <w:lang w:val="en-US" w:eastAsia="zh-CN"/>
              </w:rPr>
            </w:pPr>
            <w:r>
              <w:rPr>
                <w:rFonts w:hint="eastAsia" w:ascii="Arial"/>
                <w:sz w:val="21"/>
                <w:lang w:val="en-US" w:eastAsia="zh-CN"/>
              </w:rPr>
              <w:t>20</w:t>
            </w:r>
          </w:p>
        </w:tc>
      </w:tr>
      <w:tr w14:paraId="72145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2C10CC64">
            <w:pPr>
              <w:spacing w:line="269" w:lineRule="auto"/>
              <w:rPr>
                <w:rFonts w:ascii="Arial"/>
                <w:sz w:val="21"/>
              </w:rPr>
            </w:pPr>
          </w:p>
          <w:p w14:paraId="59D03147">
            <w:pPr>
              <w:spacing w:line="269" w:lineRule="auto"/>
              <w:rPr>
                <w:rFonts w:ascii="Arial"/>
                <w:sz w:val="21"/>
              </w:rPr>
            </w:pPr>
          </w:p>
          <w:p w14:paraId="40B17D46">
            <w:pPr>
              <w:spacing w:line="269" w:lineRule="auto"/>
              <w:rPr>
                <w:rFonts w:ascii="Arial"/>
                <w:sz w:val="21"/>
              </w:rPr>
            </w:pPr>
          </w:p>
          <w:p w14:paraId="5DF9D06C">
            <w:pPr>
              <w:spacing w:line="270" w:lineRule="auto"/>
              <w:rPr>
                <w:rFonts w:ascii="Arial"/>
                <w:sz w:val="21"/>
              </w:rPr>
            </w:pPr>
          </w:p>
          <w:p w14:paraId="6FCFC63E">
            <w:pPr>
              <w:spacing w:line="270" w:lineRule="auto"/>
              <w:rPr>
                <w:rFonts w:ascii="Arial"/>
                <w:sz w:val="21"/>
              </w:rPr>
            </w:pPr>
          </w:p>
          <w:p w14:paraId="0589A39F">
            <w:pPr>
              <w:spacing w:line="270" w:lineRule="auto"/>
              <w:rPr>
                <w:rFonts w:ascii="Arial"/>
                <w:sz w:val="21"/>
              </w:rPr>
            </w:pPr>
          </w:p>
          <w:p w14:paraId="729E5815">
            <w:pPr>
              <w:spacing w:line="270" w:lineRule="auto"/>
              <w:rPr>
                <w:rFonts w:ascii="Arial"/>
                <w:sz w:val="21"/>
              </w:rPr>
            </w:pPr>
          </w:p>
          <w:p w14:paraId="23476533">
            <w:pPr>
              <w:jc w:val="center"/>
              <w:rPr>
                <w:b/>
                <w:bCs/>
              </w:rPr>
            </w:pPr>
          </w:p>
          <w:p w14:paraId="4EE70667">
            <w:pPr>
              <w:jc w:val="center"/>
              <w:rPr>
                <w:b/>
                <w:bCs/>
              </w:rPr>
            </w:pPr>
            <w:r>
              <w:rPr>
                <w:b/>
                <w:bCs/>
              </w:rPr>
              <w:t>年</w:t>
            </w:r>
          </w:p>
          <w:p w14:paraId="0E8671C7">
            <w:pPr>
              <w:jc w:val="center"/>
              <w:rPr>
                <w:b/>
                <w:bCs/>
              </w:rPr>
            </w:pPr>
            <w:r>
              <w:rPr>
                <w:b/>
                <w:bCs/>
              </w:rPr>
              <w:t>度</w:t>
            </w:r>
          </w:p>
          <w:p w14:paraId="511AEF09">
            <w:pPr>
              <w:jc w:val="center"/>
              <w:rPr>
                <w:b/>
                <w:bCs/>
              </w:rPr>
            </w:pPr>
            <w:r>
              <w:rPr>
                <w:b/>
                <w:bCs/>
              </w:rPr>
              <w:t>绩</w:t>
            </w:r>
          </w:p>
          <w:p w14:paraId="0D00F751">
            <w:pPr>
              <w:jc w:val="center"/>
              <w:rPr>
                <w:b/>
                <w:bCs/>
              </w:rPr>
            </w:pPr>
            <w:r>
              <w:rPr>
                <w:b/>
                <w:bCs/>
              </w:rPr>
              <w:t>效</w:t>
            </w:r>
          </w:p>
          <w:p w14:paraId="1ACEFF5C">
            <w:pPr>
              <w:jc w:val="center"/>
              <w:rPr>
                <w:b/>
                <w:bCs/>
              </w:rPr>
            </w:pPr>
            <w:r>
              <w:rPr>
                <w:b/>
                <w:bCs/>
              </w:rPr>
              <w:t>目</w:t>
            </w:r>
          </w:p>
          <w:p w14:paraId="306B1CBB">
            <w:pPr>
              <w:jc w:val="center"/>
              <w:rPr>
                <w:b/>
                <w:bCs/>
              </w:rPr>
            </w:pPr>
            <w:r>
              <w:rPr>
                <w:b/>
                <w:bCs/>
              </w:rPr>
              <w:t>标</w:t>
            </w:r>
          </w:p>
          <w:p w14:paraId="39B669BB">
            <w:pPr>
              <w:jc w:val="center"/>
              <w:rPr>
                <w:b/>
                <w:bCs/>
              </w:rPr>
            </w:pPr>
            <w:r>
              <w:rPr>
                <w:b/>
                <w:bCs/>
              </w:rPr>
              <w:t>1</w:t>
            </w:r>
          </w:p>
          <w:p w14:paraId="704AAB3C">
            <w:pPr>
              <w:jc w:val="center"/>
              <w:rPr>
                <w:rFonts w:ascii="宋体" w:hAnsi="宋体" w:eastAsia="宋体" w:cs="宋体"/>
                <w:sz w:val="22"/>
                <w:szCs w:val="22"/>
              </w:rPr>
            </w:pPr>
            <w:r>
              <w:rPr>
                <w:b/>
                <w:bCs/>
              </w:rPr>
              <w:t>(XX分 )</w:t>
            </w:r>
          </w:p>
        </w:tc>
        <w:tc>
          <w:tcPr>
            <w:tcW w:w="689" w:type="dxa"/>
            <w:noWrap w:val="0"/>
            <w:vAlign w:val="top"/>
          </w:tcPr>
          <w:p w14:paraId="4AED971F">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top"/>
          </w:tcPr>
          <w:p w14:paraId="6DDD2051">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50AE3D3E">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60E37E87">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7DE39471">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36640A4E">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5A236F6B">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60699616">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16B14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65134020">
            <w:pPr>
              <w:rPr>
                <w:rFonts w:ascii="Arial"/>
                <w:sz w:val="21"/>
              </w:rPr>
            </w:pPr>
          </w:p>
        </w:tc>
        <w:tc>
          <w:tcPr>
            <w:tcW w:w="689" w:type="dxa"/>
            <w:vMerge w:val="restart"/>
            <w:tcBorders>
              <w:bottom w:val="nil"/>
            </w:tcBorders>
            <w:noWrap w:val="0"/>
            <w:vAlign w:val="top"/>
          </w:tcPr>
          <w:p w14:paraId="1CB0E409">
            <w:pPr>
              <w:rPr>
                <w:b/>
                <w:bCs/>
              </w:rPr>
            </w:pPr>
          </w:p>
          <w:p w14:paraId="3404DF01">
            <w:pPr>
              <w:rPr>
                <w:b/>
                <w:bCs/>
              </w:rPr>
            </w:pPr>
          </w:p>
          <w:p w14:paraId="7245272F">
            <w:pPr>
              <w:rPr>
                <w:b/>
                <w:bCs/>
              </w:rPr>
            </w:pPr>
          </w:p>
          <w:p w14:paraId="51D2F0C9">
            <w:pPr>
              <w:jc w:val="center"/>
              <w:rPr>
                <w:b/>
                <w:bCs/>
              </w:rPr>
            </w:pPr>
            <w:r>
              <w:rPr>
                <w:b/>
                <w:bCs/>
              </w:rPr>
              <w:t>产出</w:t>
            </w:r>
          </w:p>
          <w:p w14:paraId="02373E64">
            <w:pPr>
              <w:jc w:val="center"/>
              <w:rPr>
                <w:rFonts w:hint="eastAsia" w:eastAsia="宋体"/>
                <w:b/>
                <w:bCs/>
                <w:lang w:val="en-US" w:eastAsia="zh-CN"/>
              </w:rPr>
            </w:pPr>
            <w:r>
              <w:rPr>
                <w:rFonts w:hint="eastAsia"/>
                <w:b/>
                <w:bCs/>
                <w:lang w:val="en-US" w:eastAsia="zh-CN"/>
              </w:rPr>
              <w:t>指标</w:t>
            </w:r>
          </w:p>
        </w:tc>
        <w:tc>
          <w:tcPr>
            <w:tcW w:w="1119" w:type="dxa"/>
            <w:noWrap w:val="0"/>
            <w:vAlign w:val="top"/>
          </w:tcPr>
          <w:p w14:paraId="1A0C47EF">
            <w:pPr>
              <w:rPr>
                <w:rFonts w:ascii="Arial"/>
                <w:sz w:val="21"/>
              </w:rPr>
            </w:pPr>
            <w:r>
              <w:rPr>
                <w:rFonts w:hint="eastAsia" w:ascii="仿宋_GB2312" w:hAnsi="宋体" w:eastAsia="仿宋_GB2312" w:cs="仿宋_GB2312"/>
                <w:kern w:val="0"/>
                <w:szCs w:val="20"/>
              </w:rPr>
              <w:t>数量指标</w:t>
            </w:r>
          </w:p>
        </w:tc>
        <w:tc>
          <w:tcPr>
            <w:tcW w:w="2647" w:type="dxa"/>
            <w:gridSpan w:val="3"/>
            <w:noWrap w:val="0"/>
            <w:vAlign w:val="top"/>
          </w:tcPr>
          <w:p w14:paraId="59DB2B24">
            <w:pPr>
              <w:rPr>
                <w:rFonts w:ascii="Arial"/>
                <w:sz w:val="21"/>
              </w:rPr>
            </w:pPr>
            <w:r>
              <w:rPr>
                <w:rFonts w:hint="eastAsia" w:ascii="仿宋_GB2312" w:hAnsi="宋体" w:eastAsia="仿宋_GB2312" w:cs="仿宋_GB2312"/>
                <w:kern w:val="0"/>
                <w:szCs w:val="20"/>
              </w:rPr>
              <w:t>开展专题讲座、群众交流活动</w:t>
            </w:r>
          </w:p>
        </w:tc>
        <w:tc>
          <w:tcPr>
            <w:tcW w:w="1458" w:type="dxa"/>
            <w:noWrap w:val="0"/>
            <w:vAlign w:val="top"/>
          </w:tcPr>
          <w:p w14:paraId="64D23B92">
            <w:pPr>
              <w:rPr>
                <w:rFonts w:ascii="Arial"/>
                <w:sz w:val="21"/>
              </w:rPr>
            </w:pPr>
            <w:r>
              <w:rPr>
                <w:rFonts w:hint="eastAsia" w:ascii="仿宋_GB2312" w:hAnsi="宋体" w:eastAsia="仿宋_GB2312"/>
                <w:kern w:val="0"/>
                <w:szCs w:val="20"/>
              </w:rPr>
              <w:t>不</w:t>
            </w:r>
            <w:r>
              <w:rPr>
                <w:rFonts w:hint="eastAsia" w:ascii="仿宋_GB2312" w:hAnsi="宋体" w:eastAsia="仿宋_GB2312"/>
                <w:kern w:val="0"/>
                <w:szCs w:val="20"/>
                <w:lang w:val="en-US" w:eastAsia="zh-CN"/>
              </w:rPr>
              <w:t>下</w:t>
            </w:r>
            <w:r>
              <w:rPr>
                <w:rFonts w:hint="eastAsia" w:ascii="仿宋_GB2312" w:hAnsi="宋体" w:eastAsia="仿宋_GB2312"/>
                <w:kern w:val="0"/>
                <w:szCs w:val="20"/>
              </w:rPr>
              <w:t>于2次</w:t>
            </w:r>
          </w:p>
        </w:tc>
        <w:tc>
          <w:tcPr>
            <w:tcW w:w="1318" w:type="dxa"/>
            <w:gridSpan w:val="2"/>
            <w:noWrap w:val="0"/>
            <w:vAlign w:val="top"/>
          </w:tcPr>
          <w:p w14:paraId="5BDC86E8">
            <w:pPr>
              <w:rPr>
                <w:rFonts w:hint="default" w:ascii="Arial" w:eastAsia="宋体"/>
                <w:sz w:val="21"/>
                <w:lang w:val="en-US" w:eastAsia="zh-CN"/>
              </w:rPr>
            </w:pPr>
            <w:r>
              <w:rPr>
                <w:rFonts w:hint="eastAsia" w:ascii="Arial"/>
                <w:sz w:val="21"/>
                <w:lang w:val="en-US" w:eastAsia="zh-CN"/>
              </w:rPr>
              <w:t>3次</w:t>
            </w:r>
          </w:p>
        </w:tc>
        <w:tc>
          <w:tcPr>
            <w:tcW w:w="884" w:type="dxa"/>
            <w:noWrap w:val="0"/>
            <w:vAlign w:val="top"/>
          </w:tcPr>
          <w:p w14:paraId="751466D0">
            <w:pPr>
              <w:rPr>
                <w:rFonts w:hint="default" w:ascii="Arial" w:eastAsia="宋体"/>
                <w:sz w:val="21"/>
                <w:lang w:val="en-US" w:eastAsia="zh-CN"/>
              </w:rPr>
            </w:pPr>
            <w:r>
              <w:rPr>
                <w:rFonts w:hint="eastAsia" w:ascii="Arial"/>
                <w:sz w:val="21"/>
                <w:lang w:val="en-US" w:eastAsia="zh-CN"/>
              </w:rPr>
              <w:t>10</w:t>
            </w:r>
          </w:p>
        </w:tc>
      </w:tr>
      <w:tr w14:paraId="728085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70F0766C">
            <w:pPr>
              <w:rPr>
                <w:rFonts w:ascii="Arial"/>
                <w:sz w:val="21"/>
              </w:rPr>
            </w:pPr>
          </w:p>
        </w:tc>
        <w:tc>
          <w:tcPr>
            <w:tcW w:w="689" w:type="dxa"/>
            <w:vMerge w:val="continue"/>
            <w:tcBorders>
              <w:top w:val="nil"/>
              <w:bottom w:val="nil"/>
            </w:tcBorders>
            <w:noWrap w:val="0"/>
            <w:vAlign w:val="top"/>
          </w:tcPr>
          <w:p w14:paraId="59C4DA72">
            <w:pPr>
              <w:rPr>
                <w:b/>
                <w:bCs/>
              </w:rPr>
            </w:pPr>
          </w:p>
        </w:tc>
        <w:tc>
          <w:tcPr>
            <w:tcW w:w="1119" w:type="dxa"/>
            <w:noWrap w:val="0"/>
            <w:vAlign w:val="top"/>
          </w:tcPr>
          <w:p w14:paraId="6DC81E6A">
            <w:pPr>
              <w:rPr>
                <w:rFonts w:ascii="Arial"/>
                <w:sz w:val="21"/>
              </w:rPr>
            </w:pPr>
            <w:r>
              <w:rPr>
                <w:rFonts w:hint="eastAsia" w:ascii="仿宋_GB2312" w:hAnsi="宋体" w:eastAsia="仿宋_GB2312" w:cs="仿宋_GB2312"/>
                <w:kern w:val="0"/>
                <w:szCs w:val="20"/>
              </w:rPr>
              <w:t>成本指标</w:t>
            </w:r>
          </w:p>
        </w:tc>
        <w:tc>
          <w:tcPr>
            <w:tcW w:w="2647" w:type="dxa"/>
            <w:gridSpan w:val="3"/>
            <w:noWrap w:val="0"/>
            <w:vAlign w:val="top"/>
          </w:tcPr>
          <w:p w14:paraId="29C4855E">
            <w:pPr>
              <w:rPr>
                <w:rFonts w:ascii="Arial"/>
                <w:sz w:val="21"/>
              </w:rPr>
            </w:pPr>
            <w:r>
              <w:rPr>
                <w:rFonts w:hint="eastAsia" w:ascii="仿宋_GB2312" w:hAnsi="宋体" w:eastAsia="仿宋_GB2312" w:cs="仿宋_GB2312"/>
                <w:kern w:val="0"/>
                <w:szCs w:val="20"/>
              </w:rPr>
              <w:t>按规章制度</w:t>
            </w:r>
            <w:r>
              <w:rPr>
                <w:rFonts w:hint="eastAsia" w:ascii="仿宋_GB2312" w:hAnsi="宋体" w:eastAsia="仿宋_GB2312" w:cs="仿宋_GB2312"/>
                <w:kern w:val="0"/>
                <w:szCs w:val="20"/>
                <w:lang w:eastAsia="zh-CN"/>
              </w:rPr>
              <w:t>报销</w:t>
            </w:r>
          </w:p>
        </w:tc>
        <w:tc>
          <w:tcPr>
            <w:tcW w:w="1458" w:type="dxa"/>
            <w:noWrap w:val="0"/>
            <w:vAlign w:val="top"/>
          </w:tcPr>
          <w:p w14:paraId="1B209BC0">
            <w:pPr>
              <w:rPr>
                <w:rFonts w:ascii="Arial"/>
                <w:sz w:val="21"/>
              </w:rPr>
            </w:pPr>
            <w:r>
              <w:rPr>
                <w:rFonts w:hint="eastAsia" w:ascii="仿宋_GB2312" w:hAnsi="宋体" w:eastAsia="仿宋_GB2312" w:cs="仿宋_GB2312"/>
                <w:kern w:val="0"/>
                <w:szCs w:val="20"/>
                <w:lang w:eastAsia="zh-CN"/>
              </w:rPr>
              <w:t>持续进行</w:t>
            </w:r>
          </w:p>
        </w:tc>
        <w:tc>
          <w:tcPr>
            <w:tcW w:w="1318" w:type="dxa"/>
            <w:gridSpan w:val="2"/>
            <w:noWrap w:val="0"/>
            <w:vAlign w:val="top"/>
          </w:tcPr>
          <w:p w14:paraId="02465D7A">
            <w:pPr>
              <w:rPr>
                <w:rFonts w:ascii="Arial"/>
                <w:sz w:val="21"/>
              </w:rPr>
            </w:pPr>
            <w:r>
              <w:rPr>
                <w:rFonts w:hint="eastAsia" w:ascii="仿宋_GB2312" w:hAnsi="宋体" w:eastAsia="仿宋_GB2312" w:cs="仿宋_GB2312"/>
                <w:kern w:val="0"/>
                <w:szCs w:val="20"/>
                <w:lang w:eastAsia="zh-CN"/>
              </w:rPr>
              <w:t>财务严格审批流程</w:t>
            </w:r>
          </w:p>
        </w:tc>
        <w:tc>
          <w:tcPr>
            <w:tcW w:w="884" w:type="dxa"/>
            <w:noWrap w:val="0"/>
            <w:vAlign w:val="top"/>
          </w:tcPr>
          <w:p w14:paraId="42F364B4">
            <w:pPr>
              <w:rPr>
                <w:rFonts w:hint="default" w:ascii="Arial" w:eastAsia="宋体"/>
                <w:sz w:val="21"/>
                <w:lang w:val="en-US" w:eastAsia="zh-CN"/>
              </w:rPr>
            </w:pPr>
            <w:r>
              <w:rPr>
                <w:rFonts w:hint="eastAsia" w:ascii="Arial"/>
                <w:sz w:val="21"/>
                <w:lang w:val="en-US" w:eastAsia="zh-CN"/>
              </w:rPr>
              <w:t>10</w:t>
            </w:r>
          </w:p>
        </w:tc>
      </w:tr>
      <w:tr w14:paraId="00C17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17AF35D6">
            <w:pPr>
              <w:rPr>
                <w:rFonts w:ascii="Arial"/>
                <w:sz w:val="21"/>
              </w:rPr>
            </w:pPr>
          </w:p>
        </w:tc>
        <w:tc>
          <w:tcPr>
            <w:tcW w:w="689" w:type="dxa"/>
            <w:vMerge w:val="continue"/>
            <w:tcBorders>
              <w:top w:val="nil"/>
              <w:bottom w:val="nil"/>
            </w:tcBorders>
            <w:noWrap w:val="0"/>
            <w:vAlign w:val="top"/>
          </w:tcPr>
          <w:p w14:paraId="42458CCB">
            <w:pPr>
              <w:rPr>
                <w:b/>
                <w:bCs/>
              </w:rPr>
            </w:pPr>
          </w:p>
        </w:tc>
        <w:tc>
          <w:tcPr>
            <w:tcW w:w="1119" w:type="dxa"/>
            <w:noWrap w:val="0"/>
            <w:vAlign w:val="top"/>
          </w:tcPr>
          <w:p w14:paraId="3C1BCBDC">
            <w:pPr>
              <w:spacing w:before="220" w:line="173" w:lineRule="exact"/>
              <w:rPr>
                <w:rFonts w:ascii="宋体" w:hAnsi="宋体" w:eastAsia="宋体" w:cs="宋体"/>
                <w:sz w:val="11"/>
                <w:szCs w:val="11"/>
              </w:rPr>
            </w:pPr>
            <w:r>
              <w:rPr>
                <w:rFonts w:hint="eastAsia" w:ascii="仿宋_GB2312" w:hAnsi="宋体" w:eastAsia="仿宋_GB2312" w:cs="仿宋_GB2312"/>
                <w:kern w:val="0"/>
                <w:szCs w:val="20"/>
              </w:rPr>
              <w:t>时效指标</w:t>
            </w:r>
          </w:p>
        </w:tc>
        <w:tc>
          <w:tcPr>
            <w:tcW w:w="2647" w:type="dxa"/>
            <w:gridSpan w:val="3"/>
            <w:noWrap w:val="0"/>
            <w:vAlign w:val="top"/>
          </w:tcPr>
          <w:p w14:paraId="1661347D">
            <w:pPr>
              <w:rPr>
                <w:rFonts w:ascii="Arial"/>
                <w:sz w:val="21"/>
              </w:rPr>
            </w:pPr>
            <w:r>
              <w:rPr>
                <w:rFonts w:hint="eastAsia" w:ascii="仿宋_GB2312" w:hAnsi="宋体" w:eastAsia="仿宋_GB2312" w:cs="仿宋_GB2312"/>
                <w:kern w:val="0"/>
                <w:szCs w:val="20"/>
              </w:rPr>
              <w:t>长期</w:t>
            </w:r>
          </w:p>
        </w:tc>
        <w:tc>
          <w:tcPr>
            <w:tcW w:w="1458" w:type="dxa"/>
            <w:noWrap w:val="0"/>
            <w:vAlign w:val="top"/>
          </w:tcPr>
          <w:p w14:paraId="5E97883E">
            <w:pPr>
              <w:rPr>
                <w:rFonts w:ascii="Arial"/>
                <w:sz w:val="21"/>
              </w:rPr>
            </w:pPr>
            <w:r>
              <w:rPr>
                <w:rFonts w:hint="eastAsia" w:ascii="仿宋_GB2312" w:hAnsi="宋体" w:eastAsia="仿宋_GB2312" w:cs="仿宋_GB2312"/>
                <w:kern w:val="0"/>
                <w:szCs w:val="20"/>
              </w:rPr>
              <w:t>不少于一年</w:t>
            </w:r>
          </w:p>
        </w:tc>
        <w:tc>
          <w:tcPr>
            <w:tcW w:w="1318" w:type="dxa"/>
            <w:gridSpan w:val="2"/>
            <w:noWrap w:val="0"/>
            <w:vAlign w:val="top"/>
          </w:tcPr>
          <w:p w14:paraId="0B6DEE3C">
            <w:pPr>
              <w:rPr>
                <w:rFonts w:ascii="Arial"/>
                <w:sz w:val="21"/>
              </w:rPr>
            </w:pPr>
            <w:r>
              <w:rPr>
                <w:rFonts w:hint="eastAsia" w:ascii="仿宋_GB2312" w:hAnsi="宋体" w:eastAsia="仿宋_GB2312" w:cs="仿宋_GB2312"/>
                <w:kern w:val="0"/>
                <w:szCs w:val="20"/>
                <w:lang w:eastAsia="zh-CN"/>
              </w:rPr>
              <w:t>保证完成</w:t>
            </w:r>
          </w:p>
        </w:tc>
        <w:tc>
          <w:tcPr>
            <w:tcW w:w="884" w:type="dxa"/>
            <w:noWrap w:val="0"/>
            <w:vAlign w:val="top"/>
          </w:tcPr>
          <w:p w14:paraId="6571D319">
            <w:pPr>
              <w:rPr>
                <w:rFonts w:hint="default" w:ascii="Arial" w:eastAsia="宋体"/>
                <w:sz w:val="21"/>
                <w:lang w:val="en-US" w:eastAsia="zh-CN"/>
              </w:rPr>
            </w:pPr>
            <w:r>
              <w:rPr>
                <w:rFonts w:hint="eastAsia" w:ascii="Arial" w:eastAsia="宋体"/>
                <w:sz w:val="21"/>
                <w:lang w:val="en-US" w:eastAsia="zh-CN"/>
              </w:rPr>
              <w:t>7</w:t>
            </w:r>
          </w:p>
        </w:tc>
      </w:tr>
      <w:tr w14:paraId="4CC9E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7069B76A">
            <w:pPr>
              <w:rPr>
                <w:rFonts w:ascii="Arial"/>
                <w:sz w:val="21"/>
              </w:rPr>
            </w:pPr>
          </w:p>
        </w:tc>
        <w:tc>
          <w:tcPr>
            <w:tcW w:w="689" w:type="dxa"/>
            <w:vMerge w:val="continue"/>
            <w:tcBorders>
              <w:top w:val="nil"/>
            </w:tcBorders>
            <w:noWrap w:val="0"/>
            <w:vAlign w:val="top"/>
          </w:tcPr>
          <w:p w14:paraId="2FFCF363">
            <w:pPr>
              <w:rPr>
                <w:b/>
                <w:bCs/>
              </w:rPr>
            </w:pPr>
          </w:p>
        </w:tc>
        <w:tc>
          <w:tcPr>
            <w:tcW w:w="1119" w:type="dxa"/>
            <w:noWrap w:val="0"/>
            <w:vAlign w:val="top"/>
          </w:tcPr>
          <w:p w14:paraId="328E3F67">
            <w:pPr>
              <w:widowControl/>
              <w:jc w:val="center"/>
              <w:rPr>
                <w:rFonts w:ascii="宋体" w:hAnsi="宋体" w:eastAsia="宋体" w:cs="宋体"/>
                <w:sz w:val="22"/>
                <w:szCs w:val="22"/>
              </w:rPr>
            </w:pPr>
            <w:r>
              <w:rPr>
                <w:rFonts w:hint="eastAsia" w:ascii="仿宋_GB2312" w:hAnsi="宋体" w:eastAsia="仿宋_GB2312" w:cs="仿宋_GB2312"/>
                <w:kern w:val="0"/>
                <w:szCs w:val="20"/>
              </w:rPr>
              <w:t>经济效益指标</w:t>
            </w:r>
          </w:p>
        </w:tc>
        <w:tc>
          <w:tcPr>
            <w:tcW w:w="2647" w:type="dxa"/>
            <w:gridSpan w:val="3"/>
            <w:noWrap w:val="0"/>
            <w:vAlign w:val="top"/>
          </w:tcPr>
          <w:p w14:paraId="756935B0">
            <w:pPr>
              <w:rPr>
                <w:rFonts w:ascii="Arial"/>
                <w:sz w:val="21"/>
              </w:rPr>
            </w:pPr>
            <w:r>
              <w:rPr>
                <w:rFonts w:hint="eastAsia" w:ascii="仿宋_GB2312" w:hAnsi="宋体" w:eastAsia="仿宋_GB2312" w:cs="仿宋_GB2312"/>
                <w:kern w:val="0"/>
                <w:szCs w:val="20"/>
              </w:rPr>
              <w:t>做好日常工作，保证基建项目的顺利开展　　</w:t>
            </w:r>
          </w:p>
        </w:tc>
        <w:tc>
          <w:tcPr>
            <w:tcW w:w="1458" w:type="dxa"/>
            <w:noWrap w:val="0"/>
            <w:vAlign w:val="top"/>
          </w:tcPr>
          <w:p w14:paraId="31DAC591">
            <w:pPr>
              <w:rPr>
                <w:rFonts w:ascii="Arial"/>
                <w:sz w:val="21"/>
              </w:rPr>
            </w:pPr>
            <w:r>
              <w:rPr>
                <w:rFonts w:hint="eastAsia" w:ascii="仿宋_GB2312" w:hAnsi="宋体" w:eastAsia="仿宋_GB2312" w:cs="仿宋_GB2312"/>
                <w:kern w:val="0"/>
                <w:szCs w:val="20"/>
              </w:rPr>
              <w:t>持续进行</w:t>
            </w:r>
          </w:p>
        </w:tc>
        <w:tc>
          <w:tcPr>
            <w:tcW w:w="1318" w:type="dxa"/>
            <w:gridSpan w:val="2"/>
            <w:noWrap w:val="0"/>
            <w:vAlign w:val="top"/>
          </w:tcPr>
          <w:p w14:paraId="3AFA61B7">
            <w:pPr>
              <w:widowControl/>
              <w:jc w:val="both"/>
              <w:rPr>
                <w:rFonts w:hint="eastAsia" w:ascii="仿宋_GB2312" w:hAnsi="宋体" w:eastAsia="仿宋_GB2312" w:cs="仿宋_GB2312"/>
                <w:kern w:val="0"/>
                <w:szCs w:val="20"/>
                <w:lang w:eastAsia="zh-CN"/>
              </w:rPr>
            </w:pPr>
            <w:r>
              <w:rPr>
                <w:rFonts w:hint="eastAsia" w:ascii="仿宋_GB2312" w:hAnsi="宋体" w:eastAsia="仿宋_GB2312" w:cs="仿宋_GB2312"/>
                <w:kern w:val="0"/>
                <w:szCs w:val="20"/>
                <w:lang w:eastAsia="zh-CN"/>
              </w:rPr>
              <w:t>街道各基建项目稳步推进中</w:t>
            </w:r>
          </w:p>
          <w:p w14:paraId="0F67D0F6">
            <w:pPr>
              <w:rPr>
                <w:rFonts w:ascii="Arial"/>
                <w:sz w:val="21"/>
              </w:rPr>
            </w:pPr>
          </w:p>
        </w:tc>
        <w:tc>
          <w:tcPr>
            <w:tcW w:w="884" w:type="dxa"/>
            <w:noWrap w:val="0"/>
            <w:vAlign w:val="top"/>
          </w:tcPr>
          <w:p w14:paraId="6E5A6B71">
            <w:pPr>
              <w:rPr>
                <w:rFonts w:hint="default" w:ascii="Arial" w:eastAsia="宋体"/>
                <w:sz w:val="21"/>
                <w:lang w:val="en-US" w:eastAsia="zh-CN"/>
              </w:rPr>
            </w:pPr>
            <w:r>
              <w:rPr>
                <w:rFonts w:hint="eastAsia" w:ascii="Arial"/>
                <w:sz w:val="21"/>
                <w:lang w:val="en-US" w:eastAsia="zh-CN"/>
              </w:rPr>
              <w:t>10</w:t>
            </w:r>
          </w:p>
        </w:tc>
      </w:tr>
      <w:tr w14:paraId="0B1C2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1A037DA0">
            <w:pPr>
              <w:rPr>
                <w:rFonts w:ascii="Arial"/>
                <w:sz w:val="21"/>
              </w:rPr>
            </w:pPr>
          </w:p>
        </w:tc>
        <w:tc>
          <w:tcPr>
            <w:tcW w:w="689" w:type="dxa"/>
            <w:vMerge w:val="restart"/>
            <w:tcBorders>
              <w:bottom w:val="nil"/>
            </w:tcBorders>
            <w:noWrap w:val="0"/>
            <w:vAlign w:val="top"/>
          </w:tcPr>
          <w:p w14:paraId="57188318">
            <w:pPr>
              <w:jc w:val="center"/>
              <w:rPr>
                <w:rFonts w:ascii="Calibri" w:hAnsi="Calibri" w:eastAsia="宋体" w:cs="Times New Roman"/>
                <w:b/>
                <w:bCs/>
              </w:rPr>
            </w:pPr>
          </w:p>
          <w:p w14:paraId="59A4FFA7">
            <w:pPr>
              <w:jc w:val="center"/>
              <w:rPr>
                <w:rFonts w:ascii="Calibri" w:hAnsi="Calibri" w:eastAsia="宋体" w:cs="Times New Roman"/>
                <w:b/>
                <w:bCs/>
              </w:rPr>
            </w:pPr>
          </w:p>
          <w:p w14:paraId="07D4225B">
            <w:pPr>
              <w:jc w:val="center"/>
              <w:rPr>
                <w:rFonts w:ascii="Calibri" w:hAnsi="Calibri" w:eastAsia="宋体" w:cs="Times New Roman"/>
                <w:b/>
                <w:bCs/>
              </w:rPr>
            </w:pPr>
          </w:p>
          <w:p w14:paraId="39BDEB2A">
            <w:pPr>
              <w:jc w:val="center"/>
              <w:rPr>
                <w:rFonts w:ascii="Calibri" w:hAnsi="Calibri" w:eastAsia="宋体" w:cs="Times New Roman"/>
                <w:b/>
                <w:bCs/>
              </w:rPr>
            </w:pPr>
            <w:r>
              <w:rPr>
                <w:rFonts w:ascii="Calibri" w:hAnsi="Calibri" w:eastAsia="宋体" w:cs="Times New Roman"/>
                <w:b/>
                <w:bCs/>
              </w:rPr>
              <w:t>效益 指标</w:t>
            </w:r>
          </w:p>
        </w:tc>
        <w:tc>
          <w:tcPr>
            <w:tcW w:w="1119" w:type="dxa"/>
            <w:noWrap w:val="0"/>
            <w:vAlign w:val="top"/>
          </w:tcPr>
          <w:p w14:paraId="1A115098">
            <w:pPr>
              <w:spacing w:before="211" w:line="169" w:lineRule="exact"/>
              <w:rPr>
                <w:rFonts w:ascii="宋体" w:hAnsi="宋体" w:eastAsia="宋体" w:cs="宋体"/>
                <w:sz w:val="11"/>
                <w:szCs w:val="11"/>
              </w:rPr>
            </w:pPr>
            <w:r>
              <w:rPr>
                <w:rFonts w:hint="eastAsia" w:ascii="仿宋_GB2312" w:hAnsi="宋体" w:eastAsia="仿宋_GB2312"/>
                <w:kern w:val="0"/>
                <w:szCs w:val="20"/>
              </w:rPr>
              <w:t>社会公众或服务对象满意率</w:t>
            </w:r>
          </w:p>
        </w:tc>
        <w:tc>
          <w:tcPr>
            <w:tcW w:w="2647" w:type="dxa"/>
            <w:gridSpan w:val="3"/>
            <w:noWrap w:val="0"/>
            <w:vAlign w:val="top"/>
          </w:tcPr>
          <w:p w14:paraId="6465889F">
            <w:pPr>
              <w:rPr>
                <w:rFonts w:ascii="Arial"/>
                <w:sz w:val="21"/>
              </w:rPr>
            </w:pPr>
            <w:r>
              <w:rPr>
                <w:rFonts w:hint="eastAsia" w:ascii="仿宋_GB2312" w:hAnsi="宋体" w:eastAsia="仿宋_GB2312" w:cs="仿宋_GB2312"/>
                <w:kern w:val="0"/>
                <w:szCs w:val="20"/>
              </w:rPr>
              <w:t>提升政府评价和树立良好形象</w:t>
            </w:r>
          </w:p>
        </w:tc>
        <w:tc>
          <w:tcPr>
            <w:tcW w:w="1458" w:type="dxa"/>
            <w:noWrap w:val="0"/>
            <w:vAlign w:val="top"/>
          </w:tcPr>
          <w:p w14:paraId="34792D72">
            <w:pPr>
              <w:rPr>
                <w:rFonts w:ascii="Arial"/>
                <w:sz w:val="21"/>
              </w:rPr>
            </w:pPr>
            <w:r>
              <w:rPr>
                <w:rFonts w:hint="eastAsia" w:ascii="仿宋_GB2312" w:hAnsi="宋体" w:eastAsia="仿宋_GB2312" w:cs="仿宋_GB2312"/>
                <w:kern w:val="0"/>
                <w:szCs w:val="20"/>
                <w:lang w:eastAsia="zh-CN"/>
              </w:rPr>
              <w:t>持续加强</w:t>
            </w:r>
          </w:p>
        </w:tc>
        <w:tc>
          <w:tcPr>
            <w:tcW w:w="1318" w:type="dxa"/>
            <w:gridSpan w:val="2"/>
            <w:noWrap w:val="0"/>
            <w:vAlign w:val="top"/>
          </w:tcPr>
          <w:p w14:paraId="3C95F80F">
            <w:pPr>
              <w:rPr>
                <w:rFonts w:ascii="Arial"/>
                <w:sz w:val="21"/>
              </w:rPr>
            </w:pPr>
            <w:r>
              <w:rPr>
                <w:rFonts w:hint="eastAsia" w:ascii="仿宋_GB2312" w:hAnsi="宋体" w:eastAsia="仿宋_GB2312"/>
                <w:kern w:val="0"/>
                <w:szCs w:val="20"/>
                <w:lang w:eastAsia="zh-CN"/>
              </w:rPr>
              <w:t>积极为群众解决问题</w:t>
            </w:r>
          </w:p>
        </w:tc>
        <w:tc>
          <w:tcPr>
            <w:tcW w:w="884" w:type="dxa"/>
            <w:noWrap w:val="0"/>
            <w:vAlign w:val="top"/>
          </w:tcPr>
          <w:p w14:paraId="01FB75E5">
            <w:pPr>
              <w:rPr>
                <w:rFonts w:hint="default" w:ascii="Arial" w:eastAsia="宋体"/>
                <w:sz w:val="21"/>
                <w:lang w:val="en-US" w:eastAsia="zh-CN"/>
              </w:rPr>
            </w:pPr>
            <w:r>
              <w:rPr>
                <w:rFonts w:hint="eastAsia" w:ascii="Arial" w:eastAsia="宋体"/>
                <w:sz w:val="21"/>
                <w:lang w:val="en-US" w:eastAsia="zh-CN"/>
              </w:rPr>
              <w:t>8</w:t>
            </w:r>
          </w:p>
        </w:tc>
      </w:tr>
      <w:tr w14:paraId="7F664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5267F5DB">
            <w:pPr>
              <w:rPr>
                <w:rFonts w:ascii="Arial"/>
                <w:sz w:val="21"/>
              </w:rPr>
            </w:pPr>
          </w:p>
        </w:tc>
        <w:tc>
          <w:tcPr>
            <w:tcW w:w="689" w:type="dxa"/>
            <w:vMerge w:val="continue"/>
            <w:tcBorders>
              <w:top w:val="nil"/>
              <w:bottom w:val="nil"/>
            </w:tcBorders>
            <w:noWrap w:val="0"/>
            <w:vAlign w:val="top"/>
          </w:tcPr>
          <w:p w14:paraId="1FCB877B">
            <w:pPr>
              <w:jc w:val="center"/>
              <w:rPr>
                <w:rFonts w:ascii="Calibri" w:hAnsi="Calibri" w:eastAsia="宋体" w:cs="Times New Roman"/>
                <w:b/>
                <w:bCs/>
              </w:rPr>
            </w:pPr>
          </w:p>
        </w:tc>
        <w:tc>
          <w:tcPr>
            <w:tcW w:w="1119" w:type="dxa"/>
            <w:noWrap w:val="0"/>
            <w:vAlign w:val="top"/>
          </w:tcPr>
          <w:p w14:paraId="6B3290E7">
            <w:pPr>
              <w:widowControl/>
              <w:jc w:val="both"/>
              <w:rPr>
                <w:rFonts w:ascii="宋体" w:hAnsi="宋体" w:eastAsia="宋体" w:cs="宋体"/>
                <w:sz w:val="22"/>
                <w:szCs w:val="22"/>
              </w:rPr>
            </w:pPr>
            <w:r>
              <w:rPr>
                <w:rFonts w:hint="eastAsia" w:ascii="仿宋_GB2312" w:hAnsi="宋体" w:eastAsia="仿宋_GB2312" w:cs="仿宋_GB2312"/>
                <w:kern w:val="0"/>
                <w:szCs w:val="20"/>
              </w:rPr>
              <w:t>生态效益指标</w:t>
            </w:r>
          </w:p>
        </w:tc>
        <w:tc>
          <w:tcPr>
            <w:tcW w:w="2647" w:type="dxa"/>
            <w:gridSpan w:val="3"/>
            <w:noWrap w:val="0"/>
            <w:vAlign w:val="top"/>
          </w:tcPr>
          <w:p w14:paraId="50C469C3">
            <w:pPr>
              <w:rPr>
                <w:rFonts w:ascii="Arial"/>
                <w:sz w:val="21"/>
              </w:rPr>
            </w:pPr>
            <w:r>
              <w:rPr>
                <w:rFonts w:hint="eastAsia" w:ascii="仿宋_GB2312" w:hAnsi="宋体" w:eastAsia="仿宋_GB2312" w:cs="仿宋_GB2312"/>
                <w:kern w:val="0"/>
                <w:szCs w:val="20"/>
                <w:lang w:eastAsia="zh-CN"/>
              </w:rPr>
              <w:t>保证辖区内环境卫生整洁</w:t>
            </w:r>
          </w:p>
        </w:tc>
        <w:tc>
          <w:tcPr>
            <w:tcW w:w="1458" w:type="dxa"/>
            <w:noWrap w:val="0"/>
            <w:vAlign w:val="top"/>
          </w:tcPr>
          <w:p w14:paraId="7ADDA1E2">
            <w:pPr>
              <w:rPr>
                <w:rFonts w:ascii="Arial"/>
                <w:sz w:val="21"/>
              </w:rPr>
            </w:pPr>
            <w:r>
              <w:rPr>
                <w:rFonts w:hint="eastAsia" w:ascii="仿宋_GB2312" w:hAnsi="宋体" w:eastAsia="仿宋_GB2312" w:cs="仿宋_GB2312"/>
                <w:kern w:val="0"/>
                <w:szCs w:val="20"/>
                <w:lang w:eastAsia="zh-CN"/>
              </w:rPr>
              <w:t>持续加强</w:t>
            </w:r>
          </w:p>
        </w:tc>
        <w:tc>
          <w:tcPr>
            <w:tcW w:w="1318" w:type="dxa"/>
            <w:gridSpan w:val="2"/>
            <w:noWrap w:val="0"/>
            <w:vAlign w:val="top"/>
          </w:tcPr>
          <w:p w14:paraId="6BE950E0">
            <w:pPr>
              <w:rPr>
                <w:rFonts w:ascii="Arial"/>
                <w:sz w:val="21"/>
              </w:rPr>
            </w:pPr>
            <w:r>
              <w:rPr>
                <w:rFonts w:hint="eastAsia" w:ascii="仿宋_GB2312" w:hAnsi="宋体" w:eastAsia="仿宋_GB2312"/>
                <w:kern w:val="0"/>
                <w:szCs w:val="20"/>
                <w:lang w:eastAsia="zh-CN"/>
              </w:rPr>
              <w:t>积极创建文明城市志愿活动保证辖区内卫生</w:t>
            </w:r>
          </w:p>
        </w:tc>
        <w:tc>
          <w:tcPr>
            <w:tcW w:w="884" w:type="dxa"/>
            <w:noWrap w:val="0"/>
            <w:vAlign w:val="top"/>
          </w:tcPr>
          <w:p w14:paraId="0B079E14">
            <w:pPr>
              <w:rPr>
                <w:rFonts w:hint="default" w:ascii="Arial" w:eastAsia="宋体"/>
                <w:sz w:val="21"/>
                <w:lang w:val="en-US" w:eastAsia="zh-CN"/>
              </w:rPr>
            </w:pPr>
            <w:r>
              <w:rPr>
                <w:rFonts w:hint="eastAsia" w:ascii="Arial"/>
                <w:sz w:val="21"/>
                <w:lang w:val="en-US" w:eastAsia="zh-CN"/>
              </w:rPr>
              <w:t>10</w:t>
            </w:r>
          </w:p>
        </w:tc>
      </w:tr>
      <w:tr w14:paraId="601B7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D1273E2">
            <w:pPr>
              <w:rPr>
                <w:rFonts w:ascii="Arial"/>
                <w:sz w:val="21"/>
              </w:rPr>
            </w:pPr>
          </w:p>
        </w:tc>
        <w:tc>
          <w:tcPr>
            <w:tcW w:w="689" w:type="dxa"/>
            <w:vMerge w:val="continue"/>
            <w:tcBorders>
              <w:top w:val="nil"/>
              <w:bottom w:val="nil"/>
            </w:tcBorders>
            <w:noWrap w:val="0"/>
            <w:vAlign w:val="top"/>
          </w:tcPr>
          <w:p w14:paraId="2EA64EBF">
            <w:pPr>
              <w:jc w:val="center"/>
              <w:rPr>
                <w:rFonts w:ascii="Calibri" w:hAnsi="Calibri" w:eastAsia="宋体" w:cs="Times New Roman"/>
                <w:b/>
                <w:bCs/>
              </w:rPr>
            </w:pPr>
          </w:p>
        </w:tc>
        <w:tc>
          <w:tcPr>
            <w:tcW w:w="1119" w:type="dxa"/>
            <w:noWrap w:val="0"/>
            <w:vAlign w:val="top"/>
          </w:tcPr>
          <w:p w14:paraId="41A907B3">
            <w:pPr>
              <w:widowControl/>
              <w:jc w:val="center"/>
              <w:rPr>
                <w:rFonts w:ascii="宋体" w:hAnsi="宋体" w:eastAsia="宋体" w:cs="宋体"/>
                <w:sz w:val="22"/>
                <w:szCs w:val="22"/>
              </w:rPr>
            </w:pPr>
            <w:r>
              <w:rPr>
                <w:rFonts w:hint="eastAsia" w:ascii="仿宋_GB2312" w:hAnsi="宋体" w:eastAsia="仿宋_GB2312" w:cs="仿宋_GB2312"/>
                <w:kern w:val="0"/>
                <w:szCs w:val="20"/>
              </w:rPr>
              <w:t>可持续影响指标</w:t>
            </w:r>
          </w:p>
        </w:tc>
        <w:tc>
          <w:tcPr>
            <w:tcW w:w="2647" w:type="dxa"/>
            <w:gridSpan w:val="3"/>
            <w:noWrap w:val="0"/>
            <w:vAlign w:val="top"/>
          </w:tcPr>
          <w:p w14:paraId="3550108B">
            <w:pPr>
              <w:rPr>
                <w:rFonts w:ascii="Arial"/>
                <w:sz w:val="21"/>
              </w:rPr>
            </w:pPr>
            <w:r>
              <w:rPr>
                <w:rFonts w:hint="eastAsia" w:ascii="仿宋_GB2312" w:hAnsi="宋体" w:eastAsia="仿宋_GB2312" w:cs="仿宋_GB2312"/>
                <w:kern w:val="0"/>
                <w:szCs w:val="20"/>
              </w:rPr>
              <w:t>维护辖区信访工作稳定率</w:t>
            </w:r>
          </w:p>
        </w:tc>
        <w:tc>
          <w:tcPr>
            <w:tcW w:w="1458" w:type="dxa"/>
            <w:noWrap w:val="0"/>
            <w:vAlign w:val="top"/>
          </w:tcPr>
          <w:p w14:paraId="4FDCA65A">
            <w:pPr>
              <w:rPr>
                <w:rFonts w:hint="default" w:ascii="Arial" w:eastAsia="仿宋_GB2312"/>
                <w:sz w:val="21"/>
                <w:lang w:val="en-US" w:eastAsia="zh-CN"/>
              </w:rPr>
            </w:pPr>
            <w:r>
              <w:rPr>
                <w:rFonts w:hint="eastAsia" w:ascii="仿宋_GB2312" w:hAnsi="宋体" w:eastAsia="仿宋_GB2312"/>
                <w:kern w:val="0"/>
                <w:szCs w:val="20"/>
              </w:rPr>
              <w:t>比上年略</w:t>
            </w:r>
            <w:r>
              <w:rPr>
                <w:rFonts w:hint="eastAsia" w:ascii="仿宋_GB2312" w:hAnsi="宋体" w:eastAsia="仿宋_GB2312"/>
                <w:kern w:val="0"/>
                <w:szCs w:val="20"/>
                <w:lang w:val="en-US" w:eastAsia="zh-CN"/>
              </w:rPr>
              <w:t>上升</w:t>
            </w:r>
          </w:p>
        </w:tc>
        <w:tc>
          <w:tcPr>
            <w:tcW w:w="1318" w:type="dxa"/>
            <w:gridSpan w:val="2"/>
            <w:noWrap w:val="0"/>
            <w:vAlign w:val="top"/>
          </w:tcPr>
          <w:p w14:paraId="085BD872">
            <w:pPr>
              <w:rPr>
                <w:rFonts w:ascii="Arial"/>
                <w:sz w:val="21"/>
              </w:rPr>
            </w:pPr>
            <w:r>
              <w:rPr>
                <w:rFonts w:hint="eastAsia" w:ascii="仿宋_GB2312" w:hAnsi="宋体" w:eastAsia="仿宋_GB2312"/>
                <w:kern w:val="0"/>
                <w:szCs w:val="20"/>
                <w:lang w:eastAsia="zh-CN"/>
              </w:rPr>
              <w:t>积极有效推进信访维稳工作</w:t>
            </w:r>
          </w:p>
        </w:tc>
        <w:tc>
          <w:tcPr>
            <w:tcW w:w="884" w:type="dxa"/>
            <w:noWrap w:val="0"/>
            <w:vAlign w:val="top"/>
          </w:tcPr>
          <w:p w14:paraId="43A8B097">
            <w:pPr>
              <w:rPr>
                <w:rFonts w:hint="default" w:ascii="Arial" w:eastAsia="宋体"/>
                <w:sz w:val="21"/>
                <w:lang w:val="en-US" w:eastAsia="zh-CN"/>
              </w:rPr>
            </w:pPr>
            <w:r>
              <w:rPr>
                <w:rFonts w:hint="eastAsia" w:ascii="Arial" w:eastAsia="宋体"/>
                <w:sz w:val="21"/>
                <w:lang w:val="en-US" w:eastAsia="zh-CN"/>
              </w:rPr>
              <w:t>8</w:t>
            </w:r>
          </w:p>
        </w:tc>
      </w:tr>
      <w:tr w14:paraId="62C76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22CAF78B">
            <w:pPr>
              <w:rPr>
                <w:rFonts w:ascii="Arial"/>
                <w:sz w:val="21"/>
              </w:rPr>
            </w:pPr>
          </w:p>
        </w:tc>
        <w:tc>
          <w:tcPr>
            <w:tcW w:w="689" w:type="dxa"/>
            <w:vMerge w:val="continue"/>
            <w:tcBorders>
              <w:top w:val="nil"/>
            </w:tcBorders>
            <w:noWrap w:val="0"/>
            <w:vAlign w:val="top"/>
          </w:tcPr>
          <w:p w14:paraId="713C6250">
            <w:pPr>
              <w:jc w:val="center"/>
              <w:rPr>
                <w:rFonts w:ascii="Calibri" w:hAnsi="Calibri" w:eastAsia="宋体" w:cs="Times New Roman"/>
                <w:b/>
                <w:bCs/>
              </w:rPr>
            </w:pPr>
          </w:p>
        </w:tc>
        <w:tc>
          <w:tcPr>
            <w:tcW w:w="1119" w:type="dxa"/>
            <w:noWrap w:val="0"/>
            <w:vAlign w:val="top"/>
          </w:tcPr>
          <w:p w14:paraId="2A1C32BA">
            <w:pPr>
              <w:rPr>
                <w:rFonts w:ascii="Arial"/>
                <w:sz w:val="21"/>
              </w:rPr>
            </w:pPr>
          </w:p>
        </w:tc>
        <w:tc>
          <w:tcPr>
            <w:tcW w:w="2647" w:type="dxa"/>
            <w:gridSpan w:val="3"/>
            <w:noWrap w:val="0"/>
            <w:vAlign w:val="top"/>
          </w:tcPr>
          <w:p w14:paraId="1527EC07">
            <w:pPr>
              <w:rPr>
                <w:rFonts w:ascii="Arial"/>
                <w:sz w:val="21"/>
              </w:rPr>
            </w:pPr>
          </w:p>
        </w:tc>
        <w:tc>
          <w:tcPr>
            <w:tcW w:w="1458" w:type="dxa"/>
            <w:noWrap w:val="0"/>
            <w:vAlign w:val="top"/>
          </w:tcPr>
          <w:p w14:paraId="6F136105">
            <w:pPr>
              <w:rPr>
                <w:rFonts w:ascii="Arial"/>
                <w:sz w:val="21"/>
              </w:rPr>
            </w:pPr>
          </w:p>
        </w:tc>
        <w:tc>
          <w:tcPr>
            <w:tcW w:w="1318" w:type="dxa"/>
            <w:gridSpan w:val="2"/>
            <w:noWrap w:val="0"/>
            <w:vAlign w:val="top"/>
          </w:tcPr>
          <w:p w14:paraId="62C219AB">
            <w:pPr>
              <w:rPr>
                <w:rFonts w:ascii="Arial"/>
                <w:sz w:val="21"/>
              </w:rPr>
            </w:pPr>
          </w:p>
        </w:tc>
        <w:tc>
          <w:tcPr>
            <w:tcW w:w="884" w:type="dxa"/>
            <w:noWrap w:val="0"/>
            <w:vAlign w:val="top"/>
          </w:tcPr>
          <w:p w14:paraId="7759F141">
            <w:pPr>
              <w:rPr>
                <w:rFonts w:ascii="Arial"/>
                <w:sz w:val="21"/>
              </w:rPr>
            </w:pPr>
          </w:p>
        </w:tc>
      </w:tr>
      <w:tr w14:paraId="04259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73F5E531">
            <w:pPr>
              <w:rPr>
                <w:rFonts w:ascii="Arial"/>
                <w:sz w:val="21"/>
              </w:rPr>
            </w:pPr>
          </w:p>
        </w:tc>
        <w:tc>
          <w:tcPr>
            <w:tcW w:w="689" w:type="dxa"/>
            <w:vMerge w:val="restart"/>
            <w:tcBorders>
              <w:bottom w:val="nil"/>
            </w:tcBorders>
            <w:noWrap w:val="0"/>
            <w:vAlign w:val="top"/>
          </w:tcPr>
          <w:p w14:paraId="0D94B2C0">
            <w:pPr>
              <w:jc w:val="center"/>
              <w:rPr>
                <w:rFonts w:ascii="Calibri" w:hAnsi="Calibri" w:eastAsia="宋体" w:cs="Times New Roman"/>
                <w:b/>
                <w:bCs/>
              </w:rPr>
            </w:pPr>
            <w:r>
              <w:rPr>
                <w:rFonts w:ascii="Calibri" w:hAnsi="Calibri" w:eastAsia="宋体" w:cs="Times New Roman"/>
                <w:b/>
                <w:bCs/>
              </w:rPr>
              <w:t>满意</w:t>
            </w:r>
          </w:p>
          <w:p w14:paraId="4BEAAEBD">
            <w:pPr>
              <w:jc w:val="center"/>
              <w:rPr>
                <w:rFonts w:ascii="Calibri" w:hAnsi="Calibri" w:eastAsia="宋体" w:cs="Times New Roman"/>
                <w:b/>
                <w:bCs/>
              </w:rPr>
            </w:pPr>
            <w:r>
              <w:rPr>
                <w:rFonts w:ascii="Calibri" w:hAnsi="Calibri" w:eastAsia="宋体" w:cs="Times New Roman"/>
                <w:b/>
                <w:bCs/>
              </w:rPr>
              <w:t>度指</w:t>
            </w:r>
          </w:p>
          <w:p w14:paraId="7F800FC3">
            <w:pPr>
              <w:jc w:val="center"/>
              <w:rPr>
                <w:rFonts w:ascii="Calibri" w:hAnsi="Calibri" w:eastAsia="宋体" w:cs="Times New Roman"/>
                <w:b/>
                <w:bCs/>
              </w:rPr>
            </w:pPr>
            <w:r>
              <w:rPr>
                <w:rFonts w:ascii="Calibri" w:hAnsi="Calibri" w:eastAsia="宋体" w:cs="Times New Roman"/>
                <w:b/>
                <w:bCs/>
              </w:rPr>
              <w:t>标</w:t>
            </w:r>
          </w:p>
        </w:tc>
        <w:tc>
          <w:tcPr>
            <w:tcW w:w="1119" w:type="dxa"/>
            <w:noWrap w:val="0"/>
            <w:vAlign w:val="top"/>
          </w:tcPr>
          <w:p w14:paraId="7751A264">
            <w:pPr>
              <w:widowControl/>
              <w:jc w:val="center"/>
              <w:rPr>
                <w:rFonts w:ascii="宋体" w:hAnsi="宋体" w:eastAsia="宋体" w:cs="宋体"/>
                <w:sz w:val="11"/>
                <w:szCs w:val="11"/>
              </w:rPr>
            </w:pPr>
            <w:r>
              <w:rPr>
                <w:rFonts w:hint="eastAsia" w:ascii="仿宋_GB2312" w:hAnsi="宋体" w:eastAsia="仿宋_GB2312" w:cs="仿宋_GB2312"/>
                <w:kern w:val="0"/>
                <w:szCs w:val="20"/>
              </w:rPr>
              <w:t>服务对象满意度指标</w:t>
            </w:r>
          </w:p>
        </w:tc>
        <w:tc>
          <w:tcPr>
            <w:tcW w:w="2647" w:type="dxa"/>
            <w:gridSpan w:val="3"/>
            <w:noWrap w:val="0"/>
            <w:vAlign w:val="top"/>
          </w:tcPr>
          <w:p w14:paraId="3D971F15">
            <w:pPr>
              <w:rPr>
                <w:rFonts w:ascii="Arial"/>
                <w:sz w:val="21"/>
              </w:rPr>
            </w:pPr>
            <w:r>
              <w:rPr>
                <w:rFonts w:hint="eastAsia" w:ascii="仿宋_GB2312" w:hAnsi="宋体" w:eastAsia="仿宋_GB2312" w:cs="仿宋_GB2312"/>
                <w:kern w:val="0"/>
                <w:szCs w:val="20"/>
                <w:lang w:eastAsia="zh-CN"/>
              </w:rPr>
              <w:t>群</w:t>
            </w:r>
            <w:r>
              <w:rPr>
                <w:rFonts w:hint="eastAsia" w:ascii="仿宋_GB2312" w:hAnsi="宋体" w:eastAsia="仿宋_GB2312" w:cs="仿宋_GB2312"/>
                <w:kern w:val="0"/>
                <w:szCs w:val="20"/>
              </w:rPr>
              <w:t>众满意度</w:t>
            </w:r>
          </w:p>
        </w:tc>
        <w:tc>
          <w:tcPr>
            <w:tcW w:w="1458" w:type="dxa"/>
            <w:noWrap w:val="0"/>
            <w:vAlign w:val="top"/>
          </w:tcPr>
          <w:p w14:paraId="0BF5F0A0">
            <w:pPr>
              <w:widowControl/>
              <w:ind w:firstLine="210" w:firstLineChars="100"/>
              <w:jc w:val="both"/>
              <w:rPr>
                <w:rFonts w:hint="eastAsia" w:ascii="仿宋_GB2312" w:hAnsi="宋体" w:eastAsia="仿宋_GB2312" w:cs="仿宋_GB2312"/>
                <w:kern w:val="0"/>
                <w:szCs w:val="20"/>
              </w:rPr>
            </w:pPr>
            <w:r>
              <w:rPr>
                <w:rFonts w:hint="eastAsia" w:ascii="仿宋_GB2312" w:hAnsi="宋体" w:eastAsia="仿宋_GB2312" w:cs="仿宋_GB2312"/>
                <w:kern w:val="0"/>
                <w:szCs w:val="20"/>
                <w:lang w:val="en-US" w:eastAsia="zh-CN"/>
              </w:rPr>
              <w:t>90%以上</w:t>
            </w:r>
          </w:p>
          <w:p w14:paraId="120E35D6">
            <w:pPr>
              <w:rPr>
                <w:rFonts w:ascii="Arial"/>
                <w:sz w:val="21"/>
              </w:rPr>
            </w:pPr>
          </w:p>
        </w:tc>
        <w:tc>
          <w:tcPr>
            <w:tcW w:w="1318" w:type="dxa"/>
            <w:gridSpan w:val="2"/>
            <w:noWrap w:val="0"/>
            <w:vAlign w:val="top"/>
          </w:tcPr>
          <w:p w14:paraId="304E7B7A">
            <w:pPr>
              <w:rPr>
                <w:rFonts w:hint="default" w:ascii="Arial" w:eastAsia="宋体"/>
                <w:sz w:val="21"/>
                <w:lang w:val="en-US" w:eastAsia="zh-CN"/>
              </w:rPr>
            </w:pPr>
            <w:r>
              <w:rPr>
                <w:rFonts w:hint="eastAsia" w:ascii="Arial"/>
                <w:sz w:val="21"/>
                <w:lang w:val="en-US" w:eastAsia="zh-CN"/>
              </w:rPr>
              <w:t>95%</w:t>
            </w:r>
          </w:p>
        </w:tc>
        <w:tc>
          <w:tcPr>
            <w:tcW w:w="884" w:type="dxa"/>
            <w:noWrap w:val="0"/>
            <w:vAlign w:val="top"/>
          </w:tcPr>
          <w:p w14:paraId="7EF02618">
            <w:pPr>
              <w:rPr>
                <w:rFonts w:hint="default" w:ascii="Arial" w:eastAsia="宋体"/>
                <w:sz w:val="21"/>
                <w:lang w:val="en-US" w:eastAsia="zh-CN"/>
              </w:rPr>
            </w:pPr>
            <w:r>
              <w:rPr>
                <w:rFonts w:hint="eastAsia" w:ascii="Arial"/>
                <w:sz w:val="21"/>
                <w:lang w:val="en-US" w:eastAsia="zh-CN"/>
              </w:rPr>
              <w:t>10</w:t>
            </w:r>
          </w:p>
        </w:tc>
      </w:tr>
      <w:tr w14:paraId="13E3D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62AA6ABA">
            <w:pPr>
              <w:rPr>
                <w:rFonts w:ascii="Arial"/>
                <w:sz w:val="21"/>
              </w:rPr>
            </w:pPr>
          </w:p>
        </w:tc>
        <w:tc>
          <w:tcPr>
            <w:tcW w:w="689" w:type="dxa"/>
            <w:vMerge w:val="continue"/>
            <w:tcBorders>
              <w:top w:val="nil"/>
            </w:tcBorders>
            <w:noWrap w:val="0"/>
            <w:vAlign w:val="top"/>
          </w:tcPr>
          <w:p w14:paraId="63237E8C">
            <w:pPr>
              <w:rPr>
                <w:rFonts w:ascii="Arial"/>
                <w:sz w:val="21"/>
              </w:rPr>
            </w:pPr>
          </w:p>
        </w:tc>
        <w:tc>
          <w:tcPr>
            <w:tcW w:w="1119" w:type="dxa"/>
            <w:noWrap w:val="0"/>
            <w:vAlign w:val="top"/>
          </w:tcPr>
          <w:p w14:paraId="1040FF3F">
            <w:pPr>
              <w:rPr>
                <w:rFonts w:ascii="Arial"/>
                <w:sz w:val="21"/>
              </w:rPr>
            </w:pPr>
          </w:p>
        </w:tc>
        <w:tc>
          <w:tcPr>
            <w:tcW w:w="2647" w:type="dxa"/>
            <w:gridSpan w:val="3"/>
            <w:noWrap w:val="0"/>
            <w:vAlign w:val="top"/>
          </w:tcPr>
          <w:p w14:paraId="41B8F928">
            <w:pPr>
              <w:rPr>
                <w:rFonts w:ascii="Arial"/>
                <w:sz w:val="21"/>
              </w:rPr>
            </w:pPr>
          </w:p>
        </w:tc>
        <w:tc>
          <w:tcPr>
            <w:tcW w:w="1458" w:type="dxa"/>
            <w:noWrap w:val="0"/>
            <w:vAlign w:val="top"/>
          </w:tcPr>
          <w:p w14:paraId="24EE0956">
            <w:pPr>
              <w:rPr>
                <w:rFonts w:ascii="Arial"/>
                <w:sz w:val="21"/>
              </w:rPr>
            </w:pPr>
          </w:p>
        </w:tc>
        <w:tc>
          <w:tcPr>
            <w:tcW w:w="1318" w:type="dxa"/>
            <w:gridSpan w:val="2"/>
            <w:noWrap w:val="0"/>
            <w:vAlign w:val="top"/>
          </w:tcPr>
          <w:p w14:paraId="6F707244">
            <w:pPr>
              <w:rPr>
                <w:rFonts w:ascii="Arial"/>
                <w:sz w:val="21"/>
              </w:rPr>
            </w:pPr>
          </w:p>
        </w:tc>
        <w:tc>
          <w:tcPr>
            <w:tcW w:w="884" w:type="dxa"/>
            <w:noWrap w:val="0"/>
            <w:vAlign w:val="top"/>
          </w:tcPr>
          <w:p w14:paraId="684CBB41">
            <w:pPr>
              <w:rPr>
                <w:rFonts w:ascii="Arial"/>
                <w:sz w:val="21"/>
              </w:rPr>
            </w:pPr>
          </w:p>
        </w:tc>
      </w:tr>
      <w:tr w14:paraId="514DD6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01CFC6B5">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9"/>
            <w:noWrap w:val="0"/>
            <w:vAlign w:val="top"/>
          </w:tcPr>
          <w:p w14:paraId="39DD59A4">
            <w:pPr>
              <w:rPr>
                <w:rFonts w:hint="default" w:ascii="Arial" w:eastAsia="宋体"/>
                <w:sz w:val="21"/>
                <w:lang w:val="en-US" w:eastAsia="zh-CN"/>
              </w:rPr>
            </w:pPr>
            <w:r>
              <w:rPr>
                <w:rFonts w:hint="eastAsia" w:ascii="Arial"/>
                <w:sz w:val="21"/>
                <w:lang w:val="en-US" w:eastAsia="zh-CN"/>
              </w:rPr>
              <w:t>93</w:t>
            </w:r>
          </w:p>
        </w:tc>
      </w:tr>
    </w:tbl>
    <w:p w14:paraId="5873A5D0">
      <w:pPr>
        <w:rPr>
          <w:rFonts w:ascii="Arial"/>
          <w:sz w:val="21"/>
        </w:rPr>
      </w:pPr>
    </w:p>
    <w:p w14:paraId="21444F72">
      <w:pPr>
        <w:sectPr>
          <w:footerReference r:id="rId3" w:type="default"/>
          <w:pgSz w:w="11900" w:h="16820"/>
          <w:pgMar w:top="1429" w:right="1395" w:bottom="911" w:left="1564" w:header="0" w:footer="782" w:gutter="0"/>
          <w:cols w:space="720" w:num="1"/>
        </w:sectPr>
      </w:pPr>
    </w:p>
    <w:p w14:paraId="2B6719AE"/>
    <w:p w14:paraId="3A728510">
      <w:pPr>
        <w:spacing w:line="93" w:lineRule="exact"/>
      </w:pPr>
    </w:p>
    <w:tbl>
      <w:tblPr>
        <w:tblStyle w:val="5"/>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23"/>
        <w:gridCol w:w="7406"/>
      </w:tblGrid>
      <w:tr w14:paraId="070E9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0" w:hRule="atLeast"/>
        </w:trPr>
        <w:tc>
          <w:tcPr>
            <w:tcW w:w="1523" w:type="dxa"/>
            <w:noWrap w:val="0"/>
            <w:vAlign w:val="top"/>
          </w:tcPr>
          <w:p w14:paraId="7FB855BF">
            <w:pPr>
              <w:spacing w:line="242" w:lineRule="auto"/>
              <w:rPr>
                <w:rFonts w:ascii="Arial"/>
                <w:sz w:val="21"/>
              </w:rPr>
            </w:pPr>
          </w:p>
          <w:p w14:paraId="3BC2D77A">
            <w:pPr>
              <w:spacing w:line="242" w:lineRule="auto"/>
              <w:rPr>
                <w:rFonts w:ascii="Arial"/>
                <w:sz w:val="21"/>
              </w:rPr>
            </w:pPr>
          </w:p>
          <w:p w14:paraId="5B82DAD7">
            <w:pPr>
              <w:spacing w:line="242" w:lineRule="auto"/>
              <w:rPr>
                <w:rFonts w:ascii="Arial"/>
                <w:sz w:val="21"/>
              </w:rPr>
            </w:pPr>
          </w:p>
          <w:p w14:paraId="3D47426A">
            <w:pPr>
              <w:spacing w:line="242" w:lineRule="auto"/>
              <w:rPr>
                <w:rFonts w:ascii="Arial"/>
                <w:sz w:val="21"/>
              </w:rPr>
            </w:pPr>
          </w:p>
          <w:p w14:paraId="6654DC6A">
            <w:pPr>
              <w:spacing w:line="242" w:lineRule="auto"/>
              <w:rPr>
                <w:rFonts w:ascii="Arial"/>
                <w:sz w:val="21"/>
              </w:rPr>
            </w:pPr>
          </w:p>
          <w:p w14:paraId="3FA02467">
            <w:pPr>
              <w:spacing w:line="242" w:lineRule="auto"/>
              <w:rPr>
                <w:rFonts w:ascii="Arial"/>
                <w:sz w:val="21"/>
              </w:rPr>
            </w:pPr>
          </w:p>
          <w:p w14:paraId="22B1919B">
            <w:pPr>
              <w:spacing w:line="242" w:lineRule="auto"/>
              <w:rPr>
                <w:rFonts w:ascii="Arial"/>
                <w:sz w:val="21"/>
              </w:rPr>
            </w:pPr>
          </w:p>
          <w:p w14:paraId="7C04EEE4">
            <w:pPr>
              <w:spacing w:line="242" w:lineRule="auto"/>
              <w:rPr>
                <w:rFonts w:ascii="Arial"/>
                <w:b/>
                <w:bCs/>
                <w:sz w:val="21"/>
              </w:rPr>
            </w:pPr>
          </w:p>
          <w:p w14:paraId="70871585">
            <w:pPr>
              <w:jc w:val="center"/>
              <w:rPr>
                <w:b/>
                <w:bCs/>
              </w:rPr>
            </w:pPr>
            <w:r>
              <w:rPr>
                <w:b/>
                <w:bCs/>
              </w:rPr>
              <w:t>偏差大或</w:t>
            </w:r>
          </w:p>
          <w:p w14:paraId="3CCBA116">
            <w:pPr>
              <w:jc w:val="center"/>
              <w:rPr>
                <w:b/>
                <w:bCs/>
              </w:rPr>
            </w:pPr>
            <w:r>
              <w:rPr>
                <w:b/>
                <w:bCs/>
              </w:rPr>
              <w:t>目标未完成</w:t>
            </w:r>
          </w:p>
          <w:p w14:paraId="22E2D884">
            <w:pPr>
              <w:jc w:val="center"/>
              <w:rPr>
                <w:rFonts w:ascii="宋体" w:hAnsi="宋体" w:eastAsia="宋体" w:cs="宋体"/>
                <w:sz w:val="20"/>
                <w:szCs w:val="20"/>
              </w:rPr>
            </w:pPr>
            <w:r>
              <w:rPr>
                <w:b/>
                <w:bCs/>
              </w:rPr>
              <w:t>原因分析</w:t>
            </w:r>
          </w:p>
        </w:tc>
        <w:tc>
          <w:tcPr>
            <w:tcW w:w="7406" w:type="dxa"/>
            <w:noWrap w:val="0"/>
            <w:vAlign w:val="top"/>
          </w:tcPr>
          <w:p w14:paraId="59C68600">
            <w:pPr>
              <w:widowControl/>
              <w:jc w:val="left"/>
              <w:rPr>
                <w:rFonts w:hint="eastAsia" w:ascii="仿宋_GB2312" w:hAnsi="宋体" w:eastAsia="仿宋_GB2312" w:cs="仿宋_GB2312"/>
                <w:kern w:val="0"/>
                <w:szCs w:val="20"/>
                <w:lang w:val="en-US" w:eastAsia="zh-CN"/>
              </w:rPr>
            </w:pPr>
            <w:r>
              <w:rPr>
                <w:rFonts w:hint="eastAsia" w:ascii="仿宋_GB2312" w:hAnsi="宋体" w:eastAsia="仿宋_GB2312" w:cs="仿宋_GB2312"/>
                <w:kern w:val="0"/>
                <w:szCs w:val="20"/>
                <w:lang w:val="en-US" w:eastAsia="zh-CN"/>
              </w:rPr>
              <w:t>原因：1.经费紧张，导致绩效目标指标不能按预期完成。</w:t>
            </w:r>
          </w:p>
          <w:p w14:paraId="2C87C02D">
            <w:pPr>
              <w:widowControl/>
              <w:numPr>
                <w:ilvl w:val="0"/>
                <w:numId w:val="0"/>
              </w:numPr>
              <w:ind w:left="630" w:leftChars="0"/>
              <w:jc w:val="left"/>
              <w:rPr>
                <w:rFonts w:hint="eastAsia" w:ascii="仿宋_GB2312" w:hAnsi="宋体" w:eastAsia="仿宋_GB2312" w:cs="仿宋_GB2312"/>
                <w:kern w:val="0"/>
                <w:szCs w:val="20"/>
                <w:lang w:val="en-US" w:eastAsia="zh-CN"/>
              </w:rPr>
            </w:pPr>
            <w:r>
              <w:rPr>
                <w:rFonts w:hint="eastAsia" w:ascii="仿宋_GB2312" w:hAnsi="宋体" w:eastAsia="仿宋_GB2312" w:cs="仿宋_GB2312"/>
                <w:kern w:val="0"/>
                <w:szCs w:val="20"/>
                <w:lang w:val="en-US" w:eastAsia="zh-CN"/>
              </w:rPr>
              <w:t>2.制度不完善，导致执行过程中存在偏差。</w:t>
            </w:r>
          </w:p>
          <w:p w14:paraId="23BA5E80">
            <w:pPr>
              <w:widowControl/>
              <w:numPr>
                <w:ilvl w:val="0"/>
                <w:numId w:val="0"/>
              </w:numPr>
              <w:ind w:left="630" w:leftChars="0"/>
              <w:jc w:val="left"/>
              <w:rPr>
                <w:rFonts w:hint="default" w:ascii="仿宋_GB2312" w:hAnsi="宋体" w:eastAsia="仿宋_GB2312" w:cs="仿宋_GB2312"/>
                <w:kern w:val="0"/>
                <w:szCs w:val="20"/>
                <w:lang w:val="en-US" w:eastAsia="zh-CN"/>
              </w:rPr>
            </w:pPr>
          </w:p>
          <w:p w14:paraId="156FEFEA">
            <w:pPr>
              <w:rPr>
                <w:rFonts w:hint="eastAsia" w:ascii="Arial" w:eastAsia="宋体"/>
                <w:sz w:val="21"/>
                <w:lang w:val="en-US" w:eastAsia="zh-CN"/>
              </w:rPr>
            </w:pPr>
          </w:p>
        </w:tc>
      </w:tr>
      <w:tr w14:paraId="26F66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0" w:hRule="atLeast"/>
        </w:trPr>
        <w:tc>
          <w:tcPr>
            <w:tcW w:w="1523" w:type="dxa"/>
            <w:noWrap w:val="0"/>
            <w:vAlign w:val="top"/>
          </w:tcPr>
          <w:p w14:paraId="0E38AD38">
            <w:pPr>
              <w:spacing w:line="269" w:lineRule="auto"/>
              <w:rPr>
                <w:rFonts w:ascii="Arial"/>
                <w:sz w:val="21"/>
              </w:rPr>
            </w:pPr>
          </w:p>
          <w:p w14:paraId="5B79BD8C">
            <w:pPr>
              <w:spacing w:line="269" w:lineRule="auto"/>
              <w:rPr>
                <w:rFonts w:ascii="Arial"/>
                <w:sz w:val="21"/>
              </w:rPr>
            </w:pPr>
          </w:p>
          <w:p w14:paraId="015AE61A">
            <w:pPr>
              <w:spacing w:line="269" w:lineRule="auto"/>
              <w:rPr>
                <w:rFonts w:ascii="Arial"/>
                <w:sz w:val="21"/>
              </w:rPr>
            </w:pPr>
          </w:p>
          <w:p w14:paraId="1CBED757">
            <w:pPr>
              <w:spacing w:line="270" w:lineRule="auto"/>
              <w:rPr>
                <w:rFonts w:ascii="Arial"/>
                <w:sz w:val="21"/>
              </w:rPr>
            </w:pPr>
          </w:p>
          <w:p w14:paraId="3504ED81">
            <w:pPr>
              <w:spacing w:line="270" w:lineRule="auto"/>
              <w:rPr>
                <w:rFonts w:ascii="Arial"/>
                <w:sz w:val="21"/>
              </w:rPr>
            </w:pPr>
          </w:p>
          <w:p w14:paraId="4D6BE04A">
            <w:pPr>
              <w:spacing w:line="270" w:lineRule="auto"/>
              <w:rPr>
                <w:rFonts w:ascii="Arial"/>
                <w:sz w:val="21"/>
              </w:rPr>
            </w:pPr>
          </w:p>
          <w:p w14:paraId="39C04986">
            <w:pPr>
              <w:spacing w:line="270" w:lineRule="auto"/>
              <w:rPr>
                <w:rFonts w:ascii="Arial"/>
                <w:sz w:val="21"/>
              </w:rPr>
            </w:pPr>
          </w:p>
          <w:p w14:paraId="51917202">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7406" w:type="dxa"/>
            <w:noWrap w:val="0"/>
            <w:vAlign w:val="top"/>
          </w:tcPr>
          <w:p w14:paraId="3ACFDFAC">
            <w:pPr>
              <w:widowControl/>
              <w:jc w:val="left"/>
              <w:rPr>
                <w:rFonts w:hint="default" w:ascii="仿宋_GB2312" w:hAnsi="宋体" w:eastAsia="仿宋_GB2312" w:cs="仿宋_GB2312"/>
                <w:kern w:val="0"/>
                <w:szCs w:val="20"/>
                <w:lang w:val="en-US" w:eastAsia="zh-CN"/>
              </w:rPr>
            </w:pPr>
            <w:r>
              <w:rPr>
                <w:rFonts w:hint="eastAsia" w:ascii="仿宋_GB2312" w:hAnsi="宋体" w:eastAsia="仿宋_GB2312" w:cs="仿宋_GB2312"/>
                <w:kern w:val="0"/>
                <w:szCs w:val="20"/>
                <w:lang w:eastAsia="zh-CN"/>
              </w:rPr>
              <w:t>建议或举措：</w:t>
            </w:r>
            <w:r>
              <w:rPr>
                <w:rFonts w:hint="eastAsia" w:ascii="仿宋_GB2312" w:hAnsi="宋体" w:eastAsia="仿宋_GB2312" w:cs="仿宋_GB2312"/>
                <w:kern w:val="0"/>
                <w:szCs w:val="20"/>
                <w:lang w:val="en-US" w:eastAsia="zh-CN"/>
              </w:rPr>
              <w:t>1.增加预算指标，合理安排资金使用。单位根据上一年度指标及下一年度绩效目标情况合理下达预算指标；保障资金的前提下，合理安排资金使用，完成年度绩效目标。2.不断完善制度，明确工作任务推动工作的顺利进行。</w:t>
            </w:r>
          </w:p>
          <w:p w14:paraId="70299C23">
            <w:pPr>
              <w:rPr>
                <w:rFonts w:hint="eastAsia" w:ascii="Arial" w:eastAsia="宋体"/>
                <w:sz w:val="21"/>
                <w:lang w:val="en-US" w:eastAsia="zh-CN"/>
              </w:rPr>
            </w:pPr>
          </w:p>
        </w:tc>
      </w:tr>
    </w:tbl>
    <w:p w14:paraId="69EAEFC0">
      <w:pPr>
        <w:keepNext w:val="0"/>
        <w:keepLines w:val="0"/>
        <w:widowControl/>
        <w:suppressLineNumbers w:val="0"/>
        <w:spacing w:before="0" w:beforeAutospacing="1" w:after="0" w:afterAutospacing="1" w:line="560" w:lineRule="atLeast"/>
        <w:ind w:left="0" w:right="0" w:firstLine="560"/>
        <w:jc w:val="left"/>
        <w:rPr>
          <w:rFonts w:hint="eastAsia" w:ascii="仿宋_GB2312" w:hAnsi="Arial" w:eastAsia="仿宋_GB2312" w:cs="仿宋_GB2312"/>
          <w:b w:val="0"/>
          <w:bCs w:val="0"/>
          <w:i w:val="0"/>
          <w:iCs w:val="0"/>
          <w:caps w:val="0"/>
          <w:color w:val="222222"/>
          <w:spacing w:val="0"/>
          <w:kern w:val="0"/>
          <w:sz w:val="32"/>
          <w:szCs w:val="32"/>
          <w:lang w:val="en-US" w:eastAsia="zh-CN" w:bidi="ar"/>
        </w:rPr>
      </w:pPr>
    </w:p>
    <w:p w14:paraId="332775E4">
      <w:pPr>
        <w:keepNext w:val="0"/>
        <w:keepLines w:val="0"/>
        <w:widowControl/>
        <w:suppressLineNumbers w:val="0"/>
        <w:spacing w:before="0" w:beforeAutospacing="1" w:after="0" w:afterAutospacing="1" w:line="560" w:lineRule="atLeast"/>
        <w:ind w:right="0"/>
        <w:jc w:val="left"/>
        <w:rPr>
          <w:rFonts w:hint="eastAsia" w:ascii="仿宋_GB2312" w:hAnsi="Arial" w:eastAsia="仿宋_GB2312" w:cs="仿宋_GB2312"/>
          <w:b w:val="0"/>
          <w:bCs w:val="0"/>
          <w:i w:val="0"/>
          <w:iCs w:val="0"/>
          <w:caps w:val="0"/>
          <w:color w:val="222222"/>
          <w:spacing w:val="0"/>
          <w:kern w:val="0"/>
          <w:sz w:val="32"/>
          <w:szCs w:val="32"/>
          <w:lang w:val="en-US" w:eastAsia="zh-CN" w:bidi="ar"/>
        </w:rPr>
      </w:pPr>
    </w:p>
    <w:p w14:paraId="54D2AF03">
      <w:pPr>
        <w:keepNext w:val="0"/>
        <w:keepLines w:val="0"/>
        <w:widowControl/>
        <w:suppressLineNumbers w:val="0"/>
        <w:spacing w:before="0" w:beforeAutospacing="1" w:after="0" w:afterAutospacing="1" w:line="560" w:lineRule="atLeast"/>
        <w:ind w:left="0" w:right="0" w:firstLine="560"/>
        <w:jc w:val="left"/>
        <w:rPr>
          <w:rFonts w:hint="eastAsia" w:ascii="仿宋_GB2312" w:hAnsi="Arial" w:eastAsia="仿宋_GB2312" w:cs="仿宋_GB2312"/>
          <w:b w:val="0"/>
          <w:bCs w:val="0"/>
          <w:i w:val="0"/>
          <w:iCs w:val="0"/>
          <w:caps w:val="0"/>
          <w:color w:val="222222"/>
          <w:spacing w:val="0"/>
          <w:kern w:val="0"/>
          <w:sz w:val="32"/>
          <w:szCs w:val="32"/>
          <w:lang w:val="en-US" w:eastAsia="zh-CN" w:bidi="ar"/>
        </w:rPr>
      </w:pPr>
    </w:p>
    <w:p w14:paraId="616E502F">
      <w:pPr>
        <w:keepNext w:val="0"/>
        <w:keepLines w:val="0"/>
        <w:widowControl/>
        <w:suppressLineNumbers w:val="0"/>
        <w:spacing w:before="0" w:beforeAutospacing="1" w:after="0" w:afterAutospacing="1" w:line="560" w:lineRule="atLeast"/>
        <w:ind w:left="0" w:right="0" w:firstLine="56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 xml:space="preserve">                 </w:t>
      </w:r>
    </w:p>
    <w:p w14:paraId="0556D7EB">
      <w:pPr>
        <w:keepNext w:val="0"/>
        <w:keepLines w:val="0"/>
        <w:widowControl/>
        <w:suppressLineNumbers w:val="0"/>
        <w:spacing w:before="0" w:beforeAutospacing="1" w:after="0" w:afterAutospacing="1" w:line="540" w:lineRule="atLeast"/>
        <w:ind w:left="0" w:right="0" w:firstLine="562"/>
        <w:jc w:val="left"/>
        <w:rPr>
          <w:rFonts w:hint="default" w:ascii="Arial" w:hAnsi="Arial" w:cs="Arial"/>
          <w:i w:val="0"/>
          <w:iCs w:val="0"/>
          <w:caps w:val="0"/>
          <w:color w:val="222222"/>
          <w:spacing w:val="0"/>
          <w:sz w:val="18"/>
          <w:szCs w:val="18"/>
        </w:rPr>
      </w:pPr>
      <w:r>
        <w:rPr>
          <w:rFonts w:hint="eastAsia" w:ascii="宋体" w:hAnsi="宋体" w:eastAsia="宋体" w:cs="宋体"/>
          <w:b/>
          <w:bCs/>
          <w:i w:val="0"/>
          <w:iCs w:val="0"/>
          <w:caps w:val="0"/>
          <w:color w:val="222222"/>
          <w:spacing w:val="0"/>
          <w:kern w:val="0"/>
          <w:sz w:val="28"/>
          <w:szCs w:val="28"/>
          <w:lang w:val="en-US" w:eastAsia="zh-CN" w:bidi="ar"/>
        </w:rPr>
        <w:t>第四部分、名词解释</w:t>
      </w:r>
    </w:p>
    <w:p w14:paraId="1ED7F6D8">
      <w:pPr>
        <w:keepNext w:val="0"/>
        <w:keepLines w:val="0"/>
        <w:widowControl/>
        <w:suppressLineNumbers w:val="0"/>
        <w:spacing w:before="0" w:beforeAutospacing="1" w:after="0" w:afterAutospacing="1" w:line="56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一、财政拨款收入：指财政部门当年拨付的资金。</w:t>
      </w:r>
    </w:p>
    <w:p w14:paraId="5B2C09B4">
      <w:pPr>
        <w:keepNext w:val="0"/>
        <w:keepLines w:val="0"/>
        <w:widowControl/>
        <w:suppressLineNumbers w:val="0"/>
        <w:spacing w:before="0" w:beforeAutospacing="1" w:after="0" w:afterAutospacing="1" w:line="56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二、事业收入：指事业单位开展专业业务活动及辅助活动所取得的收入。</w:t>
      </w:r>
    </w:p>
    <w:p w14:paraId="2A4CC5D7">
      <w:pPr>
        <w:keepNext w:val="0"/>
        <w:keepLines w:val="0"/>
        <w:widowControl/>
        <w:suppressLineNumbers w:val="0"/>
        <w:spacing w:before="0" w:beforeAutospacing="1" w:after="0" w:afterAutospacing="1" w:line="56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三、经营收入：指事业单位在专业业务活动及其辅助活动之外开展非独立核算经营活动取得的收入。</w:t>
      </w:r>
    </w:p>
    <w:p w14:paraId="50ACAF4F">
      <w:pPr>
        <w:keepNext w:val="0"/>
        <w:keepLines w:val="0"/>
        <w:widowControl/>
        <w:suppressLineNumbers w:val="0"/>
        <w:spacing w:before="0" w:beforeAutospacing="1" w:after="0" w:afterAutospacing="1" w:line="56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四、其他收入：指除上述“财政拨款收入”、“事业收入”、“经营收入”等以外的收入。</w:t>
      </w:r>
    </w:p>
    <w:p w14:paraId="76C115B0">
      <w:pPr>
        <w:keepNext w:val="0"/>
        <w:keepLines w:val="0"/>
        <w:widowControl/>
        <w:suppressLineNumbers w:val="0"/>
        <w:spacing w:before="0" w:beforeAutospacing="1" w:after="0" w:afterAutospacing="1" w:line="56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7A0A82D4">
      <w:pPr>
        <w:keepNext w:val="0"/>
        <w:keepLines w:val="0"/>
        <w:widowControl/>
        <w:suppressLineNumbers w:val="0"/>
        <w:spacing w:before="0" w:beforeAutospacing="1" w:after="0" w:afterAutospacing="1" w:line="56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六、年初结转和结余：指以前年度尚未完成、结转到本年 按有关规定继续使用的资金。</w:t>
      </w:r>
    </w:p>
    <w:p w14:paraId="0FE038EC">
      <w:pPr>
        <w:keepNext w:val="0"/>
        <w:keepLines w:val="0"/>
        <w:widowControl/>
        <w:suppressLineNumbers w:val="0"/>
        <w:spacing w:before="0" w:beforeAutospacing="1" w:after="0" w:afterAutospacing="1" w:line="56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七、结余分配：指事业单位按规定提取的职工福利基金、事业基金和缴纳的所得税，以及建设单位按规定应交回的基本建设竣工项目结余资金。</w:t>
      </w:r>
    </w:p>
    <w:p w14:paraId="2308A544">
      <w:pPr>
        <w:keepNext w:val="0"/>
        <w:keepLines w:val="0"/>
        <w:widowControl/>
        <w:suppressLineNumbers w:val="0"/>
        <w:spacing w:before="0" w:beforeAutospacing="1" w:after="0" w:afterAutospacing="1" w:line="56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八、年末结转和结余：指本年度或以前年度预算安排、因客观条件发生变化无法按原计划实施，需要延迟到以后年度按有关规定继续使用的资金。</w:t>
      </w:r>
    </w:p>
    <w:p w14:paraId="4E307172">
      <w:pPr>
        <w:keepNext w:val="0"/>
        <w:keepLines w:val="0"/>
        <w:widowControl/>
        <w:suppressLineNumbers w:val="0"/>
        <w:spacing w:before="0" w:beforeAutospacing="1" w:after="0" w:afterAutospacing="1" w:line="56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九、基本支出：指为保障机构正常运转、完成日常工作任务而发生的人员支出和公用支出。</w:t>
      </w:r>
    </w:p>
    <w:p w14:paraId="1F757E23">
      <w:pPr>
        <w:keepNext w:val="0"/>
        <w:keepLines w:val="0"/>
        <w:widowControl/>
        <w:suppressLineNumbers w:val="0"/>
        <w:spacing w:before="0" w:beforeAutospacing="1" w:after="0" w:afterAutospacing="1" w:line="56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十、项目支出：指在基本支出之外为完成特定行政任务和事业发展目标所发生的支出。</w:t>
      </w:r>
    </w:p>
    <w:p w14:paraId="779205BA">
      <w:pPr>
        <w:keepNext w:val="0"/>
        <w:keepLines w:val="0"/>
        <w:widowControl/>
        <w:suppressLineNumbers w:val="0"/>
        <w:spacing w:before="0" w:beforeAutospacing="1" w:after="0" w:afterAutospacing="1" w:line="56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十一、经营支出：指事业单位在专业业务活动及其辅助活动之外开展非独立核算经营活动发生的支出。</w:t>
      </w:r>
    </w:p>
    <w:p w14:paraId="455A712F">
      <w:pPr>
        <w:keepNext w:val="0"/>
        <w:keepLines w:val="0"/>
        <w:widowControl/>
        <w:suppressLineNumbers w:val="0"/>
        <w:spacing w:before="0" w:beforeAutospacing="1" w:after="0" w:afterAutospacing="1" w:line="56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5F771CC2">
      <w:pPr>
        <w:keepNext w:val="0"/>
        <w:keepLines w:val="0"/>
        <w:widowControl/>
        <w:suppressLineNumbers w:val="0"/>
        <w:spacing w:before="0" w:beforeAutospacing="1" w:after="0" w:afterAutospacing="1" w:line="560" w:lineRule="atLeast"/>
        <w:ind w:left="0" w:right="0" w:firstLine="640"/>
        <w:jc w:val="left"/>
        <w:rPr>
          <w:rFonts w:hint="default" w:ascii="Arial" w:hAnsi="Arial" w:cs="Arial"/>
          <w:i w:val="0"/>
          <w:iCs w:val="0"/>
          <w:caps w:val="0"/>
          <w:color w:val="222222"/>
          <w:spacing w:val="0"/>
          <w:sz w:val="18"/>
          <w:szCs w:val="18"/>
        </w:rPr>
      </w:pPr>
      <w:r>
        <w:rPr>
          <w:rFonts w:hint="eastAsia" w:ascii="仿宋_GB2312" w:hAnsi="Arial" w:eastAsia="仿宋_GB2312" w:cs="仿宋_GB2312"/>
          <w:b w:val="0"/>
          <w:bCs w:val="0"/>
          <w:i w:val="0"/>
          <w:iCs w:val="0"/>
          <w:caps w:val="0"/>
          <w:color w:val="222222"/>
          <w:spacing w:val="0"/>
          <w:kern w:val="0"/>
          <w:sz w:val="32"/>
          <w:szCs w:val="32"/>
          <w:lang w:val="en-US" w:eastAsia="zh-CN" w:bidi="ar"/>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517079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3309BD">
    <w:pPr>
      <w:spacing w:line="183" w:lineRule="auto"/>
      <w:ind w:left="4335"/>
      <w:rPr>
        <w:rFonts w:ascii="宋体" w:hAnsi="宋体" w:eastAsia="宋体" w:cs="宋体"/>
        <w:sz w:val="13"/>
        <w:szCs w:val="13"/>
      </w:rPr>
    </w:pPr>
    <w:r>
      <w:rPr>
        <w:rFonts w:ascii="宋体" w:hAnsi="宋体" w:eastAsia="宋体" w:cs="宋体"/>
        <w:spacing w:val="-4"/>
        <w:sz w:val="13"/>
        <w:szCs w:val="13"/>
      </w:rPr>
      <w:t>11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89520"/>
    <w:multiLevelType w:val="singleLevel"/>
    <w:tmpl w:val="378895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hZDc3NzVjNmZmODIwMDM2Mzg1MTEyMDNhZmJmMzkifQ=="/>
  </w:docVars>
  <w:rsids>
    <w:rsidRoot w:val="00000000"/>
    <w:rsid w:val="030C0E9C"/>
    <w:rsid w:val="1EB45ED7"/>
    <w:rsid w:val="2F5024FA"/>
    <w:rsid w:val="38A962C6"/>
    <w:rsid w:val="3EA118D1"/>
    <w:rsid w:val="47AA6FAA"/>
    <w:rsid w:val="4D5C2814"/>
    <w:rsid w:val="54C00D80"/>
    <w:rsid w:val="5A8D5119"/>
    <w:rsid w:val="629D5D08"/>
    <w:rsid w:val="72691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5">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3540</Words>
  <Characters>4138</Characters>
  <Lines>0</Lines>
  <Paragraphs>0</Paragraphs>
  <TotalTime>33</TotalTime>
  <ScaleCrop>false</ScaleCrop>
  <LinksUpToDate>false</LinksUpToDate>
  <CharactersWithSpaces>4255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2023-07-26T02:18:00Z</dcterms:created>
  <dc:creator>Administrator</dc:creator>
  <cp:lastModifiedBy>时间的尽头</cp:lastModifiedBy>
  <cp:lastPrinted>2023-07-26T07:31:00Z</cp:lastPrinted>
  <dcterms:modified xsi:type="dcterms:W3CDTF">2025-03-14T03:28:19Z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832709B536794920B4FA8C4E1D6810AC_13</vt:lpwstr>
  </property>
  <property fmtid="{D5CDD505-2E9C-101B-9397-08002B2CF9AE}" pid="4" name="KSOTemplateDocerSaveRecord">
    <vt:lpwstr>eyJoZGlkIjoiOTc4OTdhNTgyZmEzODBmNjY4YjAzM2FjZjRjYmE5ZDgiLCJ1c2VySWQiOiI1NTk0Mjk4NTAifQ==</vt:lpwstr>
  </property>
</Properties>
</file>