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F680">
      <w:pPr>
        <w:pStyle w:val="2"/>
        <w:widowControl/>
        <w:shd w:val="clear" w:color="auto" w:fill="FFFFFF"/>
        <w:spacing w:beforeAutospacing="0" w:afterAutospacing="0" w:line="600" w:lineRule="atLeast"/>
        <w:jc w:val="center"/>
        <w:rPr>
          <w:rFonts w:hint="default" w:ascii="Arial" w:hAnsi="Arial" w:cs="Arial"/>
          <w:color w:val="003366"/>
          <w:sz w:val="36"/>
          <w:szCs w:val="36"/>
        </w:rPr>
      </w:pPr>
      <w:r>
        <w:rPr>
          <w:rFonts w:hint="default" w:ascii="Arial" w:hAnsi="Arial" w:cs="Arial"/>
          <w:color w:val="auto"/>
          <w:sz w:val="36"/>
          <w:szCs w:val="36"/>
          <w:shd w:val="clear" w:color="auto" w:fill="FFFFFF"/>
        </w:rPr>
        <w:t>下陆区统计局2021年决算公开</w:t>
      </w:r>
    </w:p>
    <w:p w14:paraId="3E62DA03">
      <w:pPr>
        <w:widowControl/>
        <w:shd w:val="clear" w:color="auto" w:fill="FFFFFF"/>
        <w:spacing w:line="420" w:lineRule="atLeast"/>
        <w:jc w:val="center"/>
        <w:rPr>
          <w:rFonts w:ascii="Arial" w:hAnsi="Arial" w:cs="Arial"/>
          <w:color w:val="000000"/>
          <w:szCs w:val="21"/>
        </w:rPr>
      </w:pPr>
      <w:r>
        <w:rPr>
          <w:rStyle w:val="8"/>
          <w:rFonts w:ascii="Arial" w:hAnsi="Arial" w:eastAsia="宋体" w:cs="Arial"/>
          <w:color w:val="000000"/>
          <w:kern w:val="0"/>
          <w:sz w:val="24"/>
          <w:shd w:val="clear" w:color="auto" w:fill="FFFFFF"/>
        </w:rPr>
        <w:t>  目    录</w:t>
      </w:r>
      <w:r>
        <w:rPr>
          <w:rFonts w:ascii="Arial" w:hAnsi="Arial" w:eastAsia="宋体" w:cs="Arial"/>
          <w:color w:val="000000"/>
          <w:kern w:val="0"/>
          <w:szCs w:val="21"/>
          <w:shd w:val="clear" w:color="auto" w:fill="FFFFFF"/>
        </w:rPr>
        <w:br w:type="textWrapping"/>
      </w:r>
      <w:r>
        <w:rPr>
          <w:rFonts w:ascii="Arial" w:hAnsi="Arial" w:eastAsia="宋体" w:cs="Arial"/>
          <w:color w:val="000000"/>
          <w:kern w:val="0"/>
          <w:szCs w:val="21"/>
          <w:shd w:val="clear" w:color="auto" w:fill="FFFFFF"/>
        </w:rPr>
        <w:t> </w:t>
      </w:r>
    </w:p>
    <w:p w14:paraId="1576331F">
      <w:pPr>
        <w:widowControl/>
        <w:shd w:val="clear" w:color="auto" w:fill="FFFFFF"/>
        <w:spacing w:before="300" w:line="420" w:lineRule="atLeast"/>
        <w:jc w:val="left"/>
        <w:rPr>
          <w:rFonts w:ascii="Arial" w:hAnsi="Arial" w:cs="Arial"/>
          <w:color w:val="000000"/>
          <w:szCs w:val="21"/>
        </w:rPr>
      </w:pPr>
      <w:r>
        <w:rPr>
          <w:rFonts w:ascii="Arial" w:hAnsi="Arial" w:eastAsia="宋体" w:cs="Arial"/>
          <w:color w:val="000000"/>
          <w:kern w:val="0"/>
          <w:szCs w:val="21"/>
          <w:shd w:val="clear" w:color="auto" w:fill="FFFFFF"/>
        </w:rPr>
        <w:br w:type="textWrapping"/>
      </w:r>
      <w:r>
        <w:rPr>
          <w:rStyle w:val="8"/>
          <w:rFonts w:ascii="Arial" w:hAnsi="Arial" w:eastAsia="宋体" w:cs="Arial"/>
          <w:color w:val="000000"/>
          <w:kern w:val="0"/>
          <w:sz w:val="24"/>
          <w:shd w:val="clear" w:color="auto" w:fill="FFFFFF"/>
        </w:rPr>
        <w:t>第一部分:部门基本情况</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一、部门主要职责</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二、部门机构设置情况</w:t>
      </w:r>
      <w:r>
        <w:rPr>
          <w:rStyle w:val="8"/>
          <w:rFonts w:ascii="Arial" w:hAnsi="Arial" w:eastAsia="宋体" w:cs="Arial"/>
          <w:b w:val="0"/>
          <w:bCs/>
          <w:color w:val="000000"/>
          <w:kern w:val="0"/>
          <w:sz w:val="24"/>
          <w:shd w:val="clear" w:color="auto" w:fill="FFFFFF"/>
        </w:rPr>
        <w:br w:type="textWrapping"/>
      </w:r>
      <w:r>
        <w:rPr>
          <w:rStyle w:val="8"/>
          <w:rFonts w:ascii="Arial" w:hAnsi="Arial" w:eastAsia="宋体" w:cs="Arial"/>
          <w:color w:val="000000"/>
          <w:kern w:val="0"/>
          <w:sz w:val="24"/>
          <w:shd w:val="clear" w:color="auto" w:fill="FFFFFF"/>
        </w:rPr>
        <w:t>第二部分: 部门2021年部门决算表</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一、收入支出决算总表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二、收入决算表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三、支出决算表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四、财政拨款收入支出决算总表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五、一般公共预算财政拨款支出决算表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六、一般公共预算财政拨款基本支出决算表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七、一般公共预算财政拨款“三公”经费支出决算表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八、政府性基金预算财政拨款收入支出决算表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九、国有资本经营预算财政拨款支出决算表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第三部分：部门2021年部门决算情况说明</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一、收支总体情况说明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二、决算收入支出增减变化情况说明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三、财政拨款收入支出决算情况说明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四、一般公共预算财政拨款支出决算情况说明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五、一般公共预算财政拨款基本支出决算情况说明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六、一般公共预算财政拨款“三公”经费支出决算情况说明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七、机关运行费执行情况说明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八、政府采购支出情况说明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九、国有资产占用情况说明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十、其他情况</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十一、预算绩效情况说明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第四部分、名词解释</w:t>
      </w:r>
    </w:p>
    <w:p w14:paraId="40749559">
      <w:pPr>
        <w:widowControl/>
        <w:shd w:val="clear" w:color="auto" w:fill="FFFFFF"/>
        <w:spacing w:line="420" w:lineRule="atLeast"/>
        <w:jc w:val="center"/>
        <w:rPr>
          <w:rFonts w:hint="eastAsia" w:ascii="Arial" w:hAnsi="Arial" w:eastAsia="宋体" w:cs="Arial"/>
          <w:color w:val="000000"/>
          <w:szCs w:val="21"/>
          <w:lang w:eastAsia="zh-CN"/>
        </w:rPr>
      </w:pPr>
      <w:r>
        <w:rPr>
          <w:rStyle w:val="8"/>
          <w:rFonts w:ascii="Arial" w:hAnsi="Arial" w:eastAsia="宋体" w:cs="Arial"/>
          <w:color w:val="000000"/>
          <w:kern w:val="0"/>
          <w:sz w:val="24"/>
          <w:shd w:val="clear" w:color="auto" w:fill="FFFFFF"/>
        </w:rPr>
        <w:t>黄石市下陆区统计局2021年度部门决算</w:t>
      </w:r>
      <w:r>
        <w:rPr>
          <w:rStyle w:val="8"/>
          <w:rFonts w:hint="eastAsia" w:ascii="Arial" w:hAnsi="Arial" w:eastAsia="宋体" w:cs="Arial"/>
          <w:color w:val="000000"/>
          <w:kern w:val="0"/>
          <w:sz w:val="24"/>
          <w:shd w:val="clear" w:color="auto" w:fill="FFFFFF"/>
          <w:lang w:eastAsia="zh-CN"/>
        </w:rPr>
        <w:t>公开</w:t>
      </w:r>
    </w:p>
    <w:p w14:paraId="603B399F">
      <w:pPr>
        <w:widowControl/>
        <w:spacing w:before="300"/>
        <w:jc w:val="left"/>
        <w:rPr>
          <w:rStyle w:val="8"/>
          <w:rFonts w:ascii="Arial" w:hAnsi="Arial" w:eastAsia="宋体" w:cs="Arial"/>
          <w:color w:val="000000"/>
          <w:kern w:val="0"/>
          <w:sz w:val="24"/>
          <w:shd w:val="clear" w:color="auto" w:fill="FFFFFF"/>
        </w:rPr>
      </w:pPr>
      <w:r>
        <w:rPr>
          <w:rFonts w:ascii="Arial" w:hAnsi="Arial" w:eastAsia="宋体" w:cs="Arial"/>
          <w:color w:val="000000"/>
          <w:kern w:val="0"/>
          <w:szCs w:val="21"/>
          <w:shd w:val="clear" w:color="auto" w:fill="FFFFFF"/>
        </w:rPr>
        <w:br w:type="textWrapping"/>
      </w:r>
      <w:r>
        <w:rPr>
          <w:rStyle w:val="8"/>
          <w:rFonts w:ascii="Arial" w:hAnsi="Arial" w:eastAsia="宋体" w:cs="Arial"/>
          <w:color w:val="000000"/>
          <w:kern w:val="0"/>
          <w:sz w:val="24"/>
          <w:shd w:val="clear" w:color="auto" w:fill="FFFFFF"/>
        </w:rPr>
        <w:t>第一部分:部门基本情况</w:t>
      </w:r>
      <w:r>
        <w:rPr>
          <w:rStyle w:val="8"/>
          <w:rFonts w:ascii="Arial" w:hAnsi="Arial" w:eastAsia="宋体" w:cs="Arial"/>
          <w:color w:val="000000"/>
          <w:kern w:val="0"/>
          <w:sz w:val="24"/>
          <w:shd w:val="clear" w:color="auto" w:fill="FFFFFF"/>
        </w:rPr>
        <w:br w:type="textWrapping"/>
      </w:r>
      <w:r>
        <w:rPr>
          <w:rStyle w:val="8"/>
          <w:rFonts w:ascii="Arial" w:hAnsi="Arial" w:eastAsia="宋体" w:cs="Arial"/>
          <w:color w:val="000000"/>
          <w:kern w:val="0"/>
          <w:sz w:val="24"/>
          <w:shd w:val="clear" w:color="auto" w:fill="FFFFFF"/>
        </w:rPr>
        <w:t>一、部门主要职责</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(一）按照国家、省、市的统计法律、法规和规划，组织领导和协调全区统计工作，指导全区统计工作，确保统计数据的真实、准确、及时。</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（二）按照国家、省、市建立的国民经济核算体系、统计指标体系和统一的基本统计报表制度，统一组织管理全区统计报表工作。</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（三）会同有关部门组织实施全区人口、经济、农业等重大国情国力</w:t>
      </w:r>
      <w:r>
        <w:rPr>
          <w:rStyle w:val="8"/>
          <w:rFonts w:hint="eastAsia" w:ascii="宋体" w:hAnsi="宋体" w:eastAsia="宋体" w:cs="宋体"/>
          <w:b w:val="0"/>
          <w:bCs/>
          <w:color w:val="000000"/>
          <w:kern w:val="0"/>
          <w:sz w:val="28"/>
          <w:szCs w:val="28"/>
          <w:shd w:val="clear" w:color="auto" w:fill="FFFFFF"/>
          <w:lang w:eastAsia="zh-CN"/>
        </w:rPr>
        <w:t>普查，汇总、整理和提供全区有关国情国力</w:t>
      </w:r>
      <w:r>
        <w:rPr>
          <w:rStyle w:val="8"/>
          <w:rFonts w:hint="eastAsia" w:ascii="宋体" w:hAnsi="宋体" w:eastAsia="宋体" w:cs="宋体"/>
          <w:b w:val="0"/>
          <w:bCs/>
          <w:color w:val="000000"/>
          <w:kern w:val="0"/>
          <w:sz w:val="28"/>
          <w:szCs w:val="28"/>
          <w:shd w:val="clear" w:color="auto" w:fill="FFFFFF"/>
        </w:rPr>
        <w:t>方面的统计数据。组织、协调全区城市、农村社会经济的各项典型调查和抽样调查。</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（四）组织实施全区农业牧渔业、工业、建筑业、批发和零售业、住宿和餐饮业、房地产业、居民服务和其他服务业、娱乐业等统计调查，收集、汇总、整理和提供有关调查的统计数据。</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（五）组织实施全区能源、投</w:t>
      </w:r>
      <w:r>
        <w:rPr>
          <w:rStyle w:val="8"/>
          <w:rFonts w:hint="eastAsia" w:ascii="宋体" w:hAnsi="宋体" w:eastAsia="宋体" w:cs="宋体"/>
          <w:b w:val="0"/>
          <w:bCs/>
          <w:color w:val="000000"/>
          <w:kern w:val="0"/>
          <w:sz w:val="28"/>
          <w:szCs w:val="28"/>
          <w:shd w:val="clear" w:color="auto" w:fill="FFFFFF"/>
          <w:lang w:eastAsia="zh-CN"/>
        </w:rPr>
        <w:t>资</w:t>
      </w:r>
      <w:r>
        <w:rPr>
          <w:rStyle w:val="8"/>
          <w:rFonts w:hint="eastAsia" w:ascii="宋体" w:hAnsi="宋体" w:eastAsia="宋体" w:cs="宋体"/>
          <w:b w:val="0"/>
          <w:bCs/>
          <w:color w:val="000000"/>
          <w:kern w:val="0"/>
          <w:sz w:val="28"/>
          <w:szCs w:val="28"/>
          <w:shd w:val="clear" w:color="auto" w:fill="FFFFFF"/>
        </w:rPr>
        <w:t>、消费、收入、科技、人口、劳动力、社会发展基本情况、资源等统计调查，收集、汇总、整理和提供有关调查的统计数据，综合整理和提供资源、房屋、对外贸易、对外经济等全区性基本统计数据。</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六）搜集、整理、提供全区性的基本统计资料，对全区国民经济、社会发展等情况进行统计分析、统计预测和统计监督；向区委、区政府及有关部门提供统计信息和咨询建议；审定、管理、公布全区性的基本统计资料，定期发布全区国民经济、社会发展情况的统计公报。</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（七）建立健全并管理全区统计信息自动化系统和统计数据库，建立和维护基本单位名录库，贯彻执行国家制定的统计数据库和网络的基本标准和运行规则。</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（八）组织指导全区统计系统干部、“四上”企业统计员的专业理论知识教育和业务培训。</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（九）组织、指导全区统计基层组织建设和统计基础工作，建立健全统计工作网络，不断推进统计工作标准化、规范化。</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（十）按照省、市和区委、区政府的要求，协助开展经济效益、政府工作量质化等经济和社会目标考核。</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（十一）完成上级交办的其他任务。</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二、部门机构设置情况</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1、机构设置情况：下陆区统计局只归口管理本级部门。</w:t>
      </w:r>
      <w:r>
        <w:rPr>
          <w:rFonts w:hint="eastAsia" w:ascii="宋体" w:hAnsi="宋体" w:eastAsia="宋体" w:cs="宋体"/>
          <w:b w:val="0"/>
          <w:bCs/>
          <w:color w:val="000000"/>
          <w:kern w:val="0"/>
          <w:sz w:val="28"/>
          <w:szCs w:val="28"/>
          <w:shd w:val="clear" w:color="auto" w:fill="FFFFFF"/>
        </w:rPr>
        <w:t>本单位内设置办公室、综合科</w:t>
      </w:r>
      <w:r>
        <w:rPr>
          <w:rStyle w:val="8"/>
          <w:rFonts w:hint="eastAsia" w:ascii="宋体" w:hAnsi="宋体" w:eastAsia="宋体" w:cs="宋体"/>
          <w:b w:val="0"/>
          <w:bCs/>
          <w:color w:val="000000"/>
          <w:kern w:val="0"/>
          <w:sz w:val="28"/>
          <w:szCs w:val="28"/>
          <w:shd w:val="clear" w:color="auto" w:fill="FFFFFF"/>
        </w:rPr>
        <w:t>、</w:t>
      </w:r>
      <w:r>
        <w:rPr>
          <w:rStyle w:val="8"/>
          <w:rFonts w:hint="eastAsia" w:ascii="宋体" w:hAnsi="宋体" w:eastAsia="宋体" w:cs="宋体"/>
          <w:b w:val="0"/>
          <w:bCs/>
          <w:color w:val="000000"/>
          <w:kern w:val="0"/>
          <w:sz w:val="28"/>
          <w:szCs w:val="28"/>
          <w:shd w:val="clear" w:color="auto" w:fill="FFFFFF"/>
          <w:lang w:eastAsia="zh-CN"/>
        </w:rPr>
        <w:t>工业科、贸易科、</w:t>
      </w:r>
      <w:r>
        <w:rPr>
          <w:rStyle w:val="8"/>
          <w:rFonts w:hint="eastAsia" w:ascii="宋体" w:hAnsi="宋体" w:eastAsia="宋体" w:cs="宋体"/>
          <w:b w:val="0"/>
          <w:bCs/>
          <w:color w:val="000000"/>
          <w:kern w:val="0"/>
          <w:sz w:val="28"/>
          <w:szCs w:val="28"/>
          <w:shd w:val="clear" w:color="auto" w:fill="FFFFFF"/>
          <w:lang w:val="en-US" w:eastAsia="zh-CN"/>
        </w:rPr>
        <w:t>投资科</w:t>
      </w:r>
      <w:r>
        <w:rPr>
          <w:rStyle w:val="8"/>
          <w:rFonts w:hint="eastAsia" w:ascii="宋体" w:hAnsi="宋体" w:eastAsia="宋体" w:cs="宋体"/>
          <w:b w:val="0"/>
          <w:bCs/>
          <w:color w:val="000000"/>
          <w:kern w:val="0"/>
          <w:sz w:val="28"/>
          <w:szCs w:val="28"/>
          <w:shd w:val="clear" w:color="auto" w:fill="FFFFFF"/>
          <w:lang w:eastAsia="zh-CN"/>
        </w:rPr>
        <w:t>、服务业科、数管中心</w:t>
      </w:r>
      <w:r>
        <w:rPr>
          <w:rStyle w:val="8"/>
          <w:rFonts w:hint="eastAsia" w:ascii="宋体" w:hAnsi="宋体" w:eastAsia="宋体" w:cs="宋体"/>
          <w:b w:val="0"/>
          <w:bCs/>
          <w:color w:val="000000"/>
          <w:kern w:val="0"/>
          <w:sz w:val="28"/>
          <w:szCs w:val="28"/>
          <w:shd w:val="clear" w:color="auto" w:fill="FFFFFF"/>
        </w:rPr>
        <w:t>等内设科室。</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2、编制情况：下陆区统计局核定编制数为3名，其中行政编3名，事业编制0名。2021年年末在职在编人员3人，</w:t>
      </w:r>
      <w:r>
        <w:rPr>
          <w:rStyle w:val="8"/>
          <w:rFonts w:hint="eastAsia" w:ascii="宋体" w:hAnsi="宋体" w:eastAsia="宋体" w:cs="宋体"/>
          <w:b w:val="0"/>
          <w:bCs/>
          <w:color w:val="000000"/>
          <w:kern w:val="0"/>
          <w:sz w:val="28"/>
          <w:szCs w:val="28"/>
          <w:shd w:val="clear" w:color="auto" w:fill="FFFFFF"/>
          <w:lang w:eastAsia="zh-CN"/>
        </w:rPr>
        <w:t>单位长</w:t>
      </w:r>
      <w:r>
        <w:rPr>
          <w:rStyle w:val="8"/>
          <w:rFonts w:hint="eastAsia" w:ascii="宋体" w:hAnsi="宋体" w:eastAsia="宋体" w:cs="宋体"/>
          <w:b w:val="0"/>
          <w:bCs/>
          <w:color w:val="000000"/>
          <w:kern w:val="0"/>
          <w:sz w:val="28"/>
          <w:szCs w:val="28"/>
          <w:shd w:val="clear" w:color="auto" w:fill="FFFFFF"/>
        </w:rPr>
        <w:t>聘3人，退伍安置0人，政府雇员5人，退休人员0人（已全部转入机关事业单位养老保险发放养老金）。</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第二部分: 部门2021年部门决算表</w:t>
      </w:r>
    </w:p>
    <w:p w14:paraId="1DE8486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6569710"/>
            <wp:effectExtent l="0" t="0" r="12065" b="254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5760085" cy="6569710"/>
                    </a:xfrm>
                    <a:prstGeom prst="rect">
                      <a:avLst/>
                    </a:prstGeom>
                    <a:noFill/>
                    <a:ln w="9525">
                      <a:noFill/>
                    </a:ln>
                  </pic:spPr>
                </pic:pic>
              </a:graphicData>
            </a:graphic>
          </wp:inline>
        </w:drawing>
      </w:r>
    </w:p>
    <w:p w14:paraId="5675DA14">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2289810"/>
            <wp:effectExtent l="0" t="0" r="12065" b="1524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5"/>
                    <a:stretch>
                      <a:fillRect/>
                    </a:stretch>
                  </pic:blipFill>
                  <pic:spPr>
                    <a:xfrm>
                      <a:off x="0" y="0"/>
                      <a:ext cx="5760085" cy="2289810"/>
                    </a:xfrm>
                    <a:prstGeom prst="rect">
                      <a:avLst/>
                    </a:prstGeom>
                    <a:noFill/>
                    <a:ln w="9525">
                      <a:noFill/>
                    </a:ln>
                  </pic:spPr>
                </pic:pic>
              </a:graphicData>
            </a:graphic>
          </wp:inline>
        </w:drawing>
      </w:r>
    </w:p>
    <w:p w14:paraId="001271C2">
      <w:pPr>
        <w:keepNext w:val="0"/>
        <w:keepLines w:val="0"/>
        <w:widowControl/>
        <w:suppressLineNumbers w:val="0"/>
        <w:jc w:val="left"/>
      </w:pPr>
      <w:r>
        <w:rPr>
          <w:rFonts w:hint="eastAsia"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2408555"/>
            <wp:effectExtent l="0" t="0" r="12065" b="10795"/>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6"/>
                    <pic:cNvPicPr>
                      <a:picLocks noChangeAspect="1"/>
                    </pic:cNvPicPr>
                  </pic:nvPicPr>
                  <pic:blipFill>
                    <a:blip r:embed="rId6"/>
                    <a:stretch>
                      <a:fillRect/>
                    </a:stretch>
                  </pic:blipFill>
                  <pic:spPr>
                    <a:xfrm>
                      <a:off x="0" y="0"/>
                      <a:ext cx="5760085" cy="2408555"/>
                    </a:xfrm>
                    <a:prstGeom prst="rect">
                      <a:avLst/>
                    </a:prstGeom>
                    <a:noFill/>
                    <a:ln w="9525">
                      <a:noFill/>
                    </a:ln>
                  </pic:spPr>
                </pic:pic>
              </a:graphicData>
            </a:graphic>
          </wp:inline>
        </w:drawing>
      </w:r>
    </w:p>
    <w:p w14:paraId="0ED28E0E">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5669915"/>
            <wp:effectExtent l="0" t="0" r="12065" b="6985"/>
            <wp:docPr id="1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6"/>
                    <pic:cNvPicPr>
                      <a:picLocks noChangeAspect="1"/>
                    </pic:cNvPicPr>
                  </pic:nvPicPr>
                  <pic:blipFill>
                    <a:blip r:embed="rId7"/>
                    <a:stretch>
                      <a:fillRect/>
                    </a:stretch>
                  </pic:blipFill>
                  <pic:spPr>
                    <a:xfrm>
                      <a:off x="0" y="0"/>
                      <a:ext cx="5760085" cy="5669915"/>
                    </a:xfrm>
                    <a:prstGeom prst="rect">
                      <a:avLst/>
                    </a:prstGeom>
                    <a:noFill/>
                    <a:ln w="9525">
                      <a:noFill/>
                    </a:ln>
                  </pic:spPr>
                </pic:pic>
              </a:graphicData>
            </a:graphic>
          </wp:inline>
        </w:drawing>
      </w:r>
    </w:p>
    <w:p w14:paraId="4A18814F">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2336165"/>
            <wp:effectExtent l="0" t="0" r="12065" b="6985"/>
            <wp:docPr id="1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56"/>
                    <pic:cNvPicPr>
                      <a:picLocks noChangeAspect="1"/>
                    </pic:cNvPicPr>
                  </pic:nvPicPr>
                  <pic:blipFill>
                    <a:blip r:embed="rId8"/>
                    <a:stretch>
                      <a:fillRect/>
                    </a:stretch>
                  </pic:blipFill>
                  <pic:spPr>
                    <a:xfrm>
                      <a:off x="0" y="0"/>
                      <a:ext cx="5760085" cy="2336165"/>
                    </a:xfrm>
                    <a:prstGeom prst="rect">
                      <a:avLst/>
                    </a:prstGeom>
                    <a:noFill/>
                    <a:ln w="9525">
                      <a:noFill/>
                    </a:ln>
                  </pic:spPr>
                </pic:pic>
              </a:graphicData>
            </a:graphic>
          </wp:inline>
        </w:drawing>
      </w:r>
    </w:p>
    <w:p w14:paraId="0961BCBC">
      <w:pPr>
        <w:widowControl/>
        <w:spacing w:before="300"/>
        <w:jc w:val="left"/>
        <w:rPr>
          <w:rStyle w:val="8"/>
          <w:rFonts w:hint="default" w:ascii="Arial" w:hAnsi="Arial" w:eastAsia="宋体" w:cs="Arial"/>
          <w:i w:val="0"/>
          <w:caps w:val="0"/>
          <w:color w:val="000000"/>
          <w:spacing w:val="0"/>
          <w:sz w:val="27"/>
          <w:szCs w:val="27"/>
          <w:shd w:val="clear" w:fill="FFFFFF"/>
        </w:rPr>
      </w:pPr>
    </w:p>
    <w:p w14:paraId="5E3031FC">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4348480"/>
            <wp:effectExtent l="0" t="0" r="12065" b="13970"/>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9"/>
                    <a:stretch>
                      <a:fillRect/>
                    </a:stretch>
                  </pic:blipFill>
                  <pic:spPr>
                    <a:xfrm>
                      <a:off x="0" y="0"/>
                      <a:ext cx="5760085" cy="4348480"/>
                    </a:xfrm>
                    <a:prstGeom prst="rect">
                      <a:avLst/>
                    </a:prstGeom>
                    <a:noFill/>
                    <a:ln w="9525">
                      <a:noFill/>
                    </a:ln>
                  </pic:spPr>
                </pic:pic>
              </a:graphicData>
            </a:graphic>
          </wp:inline>
        </w:drawing>
      </w:r>
    </w:p>
    <w:p w14:paraId="0F35BBEC">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1677670"/>
            <wp:effectExtent l="0" t="0" r="12065" b="1778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10"/>
                    <a:stretch>
                      <a:fillRect/>
                    </a:stretch>
                  </pic:blipFill>
                  <pic:spPr>
                    <a:xfrm>
                      <a:off x="0" y="0"/>
                      <a:ext cx="5760085" cy="1677670"/>
                    </a:xfrm>
                    <a:prstGeom prst="rect">
                      <a:avLst/>
                    </a:prstGeom>
                    <a:noFill/>
                    <a:ln w="9525">
                      <a:noFill/>
                    </a:ln>
                  </pic:spPr>
                </pic:pic>
              </a:graphicData>
            </a:graphic>
          </wp:inline>
        </w:drawing>
      </w:r>
    </w:p>
    <w:p w14:paraId="3115522F">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1958340"/>
            <wp:effectExtent l="0" t="0" r="12065" b="3810"/>
            <wp:docPr id="1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56"/>
                    <pic:cNvPicPr>
                      <a:picLocks noChangeAspect="1"/>
                    </pic:cNvPicPr>
                  </pic:nvPicPr>
                  <pic:blipFill>
                    <a:blip r:embed="rId11"/>
                    <a:stretch>
                      <a:fillRect/>
                    </a:stretch>
                  </pic:blipFill>
                  <pic:spPr>
                    <a:xfrm>
                      <a:off x="0" y="0"/>
                      <a:ext cx="5760085" cy="1958340"/>
                    </a:xfrm>
                    <a:prstGeom prst="rect">
                      <a:avLst/>
                    </a:prstGeom>
                    <a:noFill/>
                    <a:ln w="9525">
                      <a:noFill/>
                    </a:ln>
                  </pic:spPr>
                </pic:pic>
              </a:graphicData>
            </a:graphic>
          </wp:inline>
        </w:drawing>
      </w:r>
    </w:p>
    <w:p w14:paraId="253D92D3">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2077085"/>
            <wp:effectExtent l="0" t="0" r="12065" b="18415"/>
            <wp:docPr id="1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56"/>
                    <pic:cNvPicPr>
                      <a:picLocks noChangeAspect="1"/>
                    </pic:cNvPicPr>
                  </pic:nvPicPr>
                  <pic:blipFill>
                    <a:blip r:embed="rId12"/>
                    <a:stretch>
                      <a:fillRect/>
                    </a:stretch>
                  </pic:blipFill>
                  <pic:spPr>
                    <a:xfrm>
                      <a:off x="0" y="0"/>
                      <a:ext cx="5760085" cy="2077085"/>
                    </a:xfrm>
                    <a:prstGeom prst="rect">
                      <a:avLst/>
                    </a:prstGeom>
                    <a:noFill/>
                    <a:ln w="9525">
                      <a:noFill/>
                    </a:ln>
                  </pic:spPr>
                </pic:pic>
              </a:graphicData>
            </a:graphic>
          </wp:inline>
        </w:drawing>
      </w:r>
    </w:p>
    <w:p w14:paraId="5C19B1E6">
      <w:pPr>
        <w:widowControl/>
        <w:spacing w:before="300"/>
        <w:jc w:val="left"/>
        <w:rPr>
          <w:rStyle w:val="8"/>
          <w:rFonts w:hint="default" w:ascii="Arial" w:hAnsi="Arial" w:eastAsia="宋体" w:cs="Arial"/>
          <w:i w:val="0"/>
          <w:caps w:val="0"/>
          <w:color w:val="000000"/>
          <w:spacing w:val="0"/>
          <w:sz w:val="27"/>
          <w:szCs w:val="27"/>
          <w:shd w:val="clear" w:fill="FFFFFF"/>
        </w:rPr>
      </w:pPr>
      <w:r>
        <w:rPr>
          <w:rStyle w:val="8"/>
          <w:rFonts w:hint="default" w:ascii="Arial" w:hAnsi="Arial" w:eastAsia="宋体" w:cs="Arial"/>
          <w:i w:val="0"/>
          <w:caps w:val="0"/>
          <w:color w:val="000000"/>
          <w:spacing w:val="0"/>
          <w:sz w:val="27"/>
          <w:szCs w:val="27"/>
          <w:shd w:val="clear" w:fill="FFFFFF"/>
        </w:rPr>
        <w:br w:type="textWrapping"/>
      </w:r>
      <w:r>
        <w:rPr>
          <w:rStyle w:val="8"/>
          <w:rFonts w:ascii="Arial" w:hAnsi="Arial" w:eastAsia="宋体" w:cs="Arial"/>
          <w:color w:val="000000"/>
          <w:kern w:val="0"/>
          <w:sz w:val="24"/>
          <w:shd w:val="clear" w:color="auto" w:fill="FFFFFF"/>
        </w:rPr>
        <w:br w:type="textWrapping"/>
      </w:r>
      <w:r>
        <w:rPr>
          <w:rStyle w:val="8"/>
          <w:rFonts w:hint="eastAsia" w:ascii="Arial" w:hAnsi="Arial" w:eastAsia="宋体" w:cs="Arial"/>
          <w:i w:val="0"/>
          <w:caps w:val="0"/>
          <w:color w:val="000000"/>
          <w:spacing w:val="0"/>
          <w:sz w:val="27"/>
          <w:szCs w:val="27"/>
          <w:shd w:val="clear" w:fill="FFFFFF"/>
        </w:rPr>
        <w:t>第三部分：部门</w:t>
      </w:r>
      <w:r>
        <w:rPr>
          <w:rStyle w:val="8"/>
          <w:rFonts w:hint="default" w:ascii="Arial" w:hAnsi="Arial" w:eastAsia="宋体" w:cs="Arial"/>
          <w:i w:val="0"/>
          <w:caps w:val="0"/>
          <w:color w:val="000000"/>
          <w:spacing w:val="0"/>
          <w:sz w:val="27"/>
          <w:szCs w:val="27"/>
          <w:shd w:val="clear" w:fill="FFFFFF"/>
        </w:rPr>
        <w:t>2021年部门决算情况说明</w:t>
      </w:r>
      <w:r>
        <w:rPr>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一、收支总体情况说明</w:t>
      </w:r>
      <w:r>
        <w:rPr>
          <w:rFonts w:hint="default" w:ascii="Arial" w:hAnsi="Arial" w:eastAsia="宋体" w:cs="Arial"/>
          <w:i w:val="0"/>
          <w:caps w:val="0"/>
          <w:color w:val="000000"/>
          <w:spacing w:val="0"/>
          <w:sz w:val="27"/>
          <w:szCs w:val="27"/>
          <w:shd w:val="clear" w:fill="FFFFFF"/>
        </w:rPr>
        <w:br w:type="textWrapping"/>
      </w:r>
      <w:r>
        <w:rPr>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下陆区统计局2021年度决算总收入合计178.39万元，其中：财政拨款收入178.39万元，占总收入100%。其他经费收入0万元，占总收入0%。</w:t>
      </w:r>
      <w:r>
        <w:rPr>
          <w:rFonts w:hint="eastAsia" w:ascii="宋体" w:hAnsi="宋体" w:eastAsia="宋体" w:cs="宋体"/>
          <w:b w:val="0"/>
          <w:bCs/>
          <w:i w:val="0"/>
          <w:caps w:val="0"/>
          <w:color w:val="000000"/>
          <w:spacing w:val="0"/>
          <w:sz w:val="28"/>
          <w:szCs w:val="28"/>
          <w:shd w:val="clear" w:fill="FFFFFF"/>
        </w:rPr>
        <w:br w:type="textWrapping"/>
      </w:r>
      <w:r>
        <w:rPr>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下陆区统计局2021年度支出204.34万元，其中：基本支出112.97万元，占总收入55.29%，项目支出91.37元，占总收入44.17%。</w:t>
      </w:r>
      <w:r>
        <w:rPr>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二、2021年度决算收入支出增减变化情况</w:t>
      </w:r>
      <w:r>
        <w:rPr>
          <w:rFonts w:hint="default" w:ascii="Arial" w:hAnsi="Arial" w:eastAsia="宋体" w:cs="Arial"/>
          <w:i w:val="0"/>
          <w:caps w:val="0"/>
          <w:color w:val="000000"/>
          <w:spacing w:val="0"/>
          <w:sz w:val="27"/>
          <w:szCs w:val="27"/>
          <w:shd w:val="clear" w:fill="FFFFFF"/>
        </w:rPr>
        <w:br w:type="textWrapping"/>
      </w:r>
      <w:r>
        <w:rPr>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度决算收入合计178.39万元，与上年决算数268.42万元相比减少90.03万元，主要原因是：2020年度有七经普经费开支，去年有其他经费支出。与年初预算158.27相比增加20.12万元，主要原因是：财政拨入经费增加及上级部门拨入其他收入经费。</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本单位2021年度支出204.34万元，与上年决算数257.67相比减少53.33万元，主要原因是：2020年度有七经普经费开支，去年有其他经费支出。与年初预算158.27相比增加46.07万元，主要原因是：财政拨入经费增加及上级部门拨入其他收入经费。</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三、2021年财政拨款收入支出决算情况说明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下陆区统计局2021年财政拨款收入总计178.39万元，年初结转结余11.42万元，其中：一般公共预算拨款178.39万元，年初结转结余11.42万元；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highlight w:val="none"/>
          <w:shd w:val="clear" w:fill="FFFFFF"/>
          <w:lang w:val="en-US" w:eastAsia="zh-CN"/>
        </w:rPr>
        <w:t xml:space="preserve"> 2</w:t>
      </w:r>
      <w:r>
        <w:rPr>
          <w:rStyle w:val="8"/>
          <w:rFonts w:hint="eastAsia" w:ascii="宋体" w:hAnsi="宋体" w:eastAsia="宋体" w:cs="宋体"/>
          <w:b w:val="0"/>
          <w:bCs/>
          <w:i w:val="0"/>
          <w:caps w:val="0"/>
          <w:color w:val="000000"/>
          <w:spacing w:val="0"/>
          <w:sz w:val="28"/>
          <w:szCs w:val="28"/>
          <w:highlight w:val="none"/>
          <w:shd w:val="clear" w:fill="FFFFFF"/>
        </w:rPr>
        <w:t>021年财政拨款支出总计189.81万元，</w:t>
      </w:r>
      <w:r>
        <w:rPr>
          <w:rFonts w:hint="eastAsia" w:ascii="宋体" w:hAnsi="宋体" w:eastAsia="宋体" w:cs="宋体"/>
          <w:color w:val="000000"/>
          <w:kern w:val="0"/>
          <w:sz w:val="28"/>
          <w:szCs w:val="28"/>
          <w:highlight w:val="none"/>
          <w:lang w:val="en-US" w:eastAsia="zh-CN"/>
        </w:rPr>
        <w:t>与</w:t>
      </w:r>
      <w:r>
        <w:rPr>
          <w:rFonts w:hint="default" w:ascii="宋体" w:hAnsi="宋体" w:eastAsia="宋体" w:cs="宋体"/>
          <w:color w:val="000000"/>
          <w:kern w:val="0"/>
          <w:sz w:val="28"/>
          <w:szCs w:val="28"/>
          <w:highlight w:val="none"/>
          <w:lang w:val="en-US" w:eastAsia="zh-CN"/>
        </w:rPr>
        <w:t>年初预算数</w:t>
      </w:r>
      <w:r>
        <w:rPr>
          <w:rFonts w:hint="eastAsia" w:ascii="宋体" w:hAnsi="宋体" w:eastAsia="宋体" w:cs="宋体"/>
          <w:color w:val="000000"/>
          <w:kern w:val="0"/>
          <w:sz w:val="28"/>
          <w:szCs w:val="28"/>
          <w:highlight w:val="none"/>
          <w:lang w:val="en-US" w:eastAsia="zh-CN"/>
        </w:rPr>
        <w:t>158.27</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相比增加31.54万元，原因是单位人员变动，人员经费增加。与上年决算数240.89万元相比减少51.08万元，原因是</w:t>
      </w:r>
      <w:r>
        <w:rPr>
          <w:rStyle w:val="8"/>
          <w:rFonts w:hint="eastAsia" w:ascii="宋体" w:hAnsi="宋体" w:eastAsia="宋体" w:cs="宋体"/>
          <w:b w:val="0"/>
          <w:bCs/>
          <w:i w:val="0"/>
          <w:caps w:val="0"/>
          <w:color w:val="000000"/>
          <w:spacing w:val="0"/>
          <w:sz w:val="28"/>
          <w:szCs w:val="28"/>
          <w:highlight w:val="none"/>
          <w:shd w:val="clear" w:fill="FFFFFF"/>
        </w:rPr>
        <w:t>2020年度有七经普经费开支</w:t>
      </w:r>
      <w:r>
        <w:rPr>
          <w:rFonts w:hint="eastAsia" w:ascii="宋体" w:hAnsi="宋体" w:eastAsia="宋体" w:cs="宋体"/>
          <w:color w:val="000000"/>
          <w:kern w:val="0"/>
          <w:sz w:val="28"/>
          <w:szCs w:val="28"/>
          <w:highlight w:val="none"/>
          <w:lang w:val="en-US" w:eastAsia="zh-CN"/>
        </w:rPr>
        <w:t>。</w:t>
      </w:r>
      <w:r>
        <w:rPr>
          <w:rStyle w:val="8"/>
          <w:rFonts w:hint="eastAsia" w:ascii="宋体" w:hAnsi="宋体" w:eastAsia="宋体" w:cs="宋体"/>
          <w:b w:val="0"/>
          <w:bCs/>
          <w:i w:val="0"/>
          <w:caps w:val="0"/>
          <w:color w:val="000000"/>
          <w:spacing w:val="0"/>
          <w:sz w:val="28"/>
          <w:szCs w:val="28"/>
          <w:highlight w:val="none"/>
          <w:shd w:val="clear" w:fill="FFFFFF"/>
        </w:rPr>
        <w:t>按支出性质分类：基本支出98.44万元，项目支出91.37万元。年末财政</w:t>
      </w:r>
      <w:r>
        <w:rPr>
          <w:rStyle w:val="8"/>
          <w:rFonts w:hint="eastAsia" w:ascii="宋体" w:hAnsi="宋体" w:eastAsia="宋体" w:cs="宋体"/>
          <w:b w:val="0"/>
          <w:bCs/>
          <w:i w:val="0"/>
          <w:caps w:val="0"/>
          <w:color w:val="000000"/>
          <w:spacing w:val="0"/>
          <w:sz w:val="28"/>
          <w:szCs w:val="28"/>
          <w:shd w:val="clear" w:fill="FFFFFF"/>
        </w:rPr>
        <w:t>拨款结转和结余0万元。其中：一般公共预算拨款189.81万元，年末财政拨款结转和结余0万元。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四、2021年一般公共预算财政拨款支出决算情况说明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下陆区统计局2021年一般公共预算财政拨款支出189.81万元，与年初预算数为158.27万元，相比增加31.54万元，其中：一般公共预算财政拨款增加31.54万元</w:t>
      </w:r>
      <w:bookmarkStart w:id="0" w:name="_GoBack"/>
      <w:bookmarkEnd w:id="0"/>
      <w:r>
        <w:rPr>
          <w:rStyle w:val="8"/>
          <w:rFonts w:hint="eastAsia" w:ascii="宋体" w:hAnsi="宋体" w:eastAsia="宋体" w:cs="宋体"/>
          <w:b w:val="0"/>
          <w:bCs/>
          <w:i w:val="0"/>
          <w:caps w:val="0"/>
          <w:color w:val="000000"/>
          <w:spacing w:val="0"/>
          <w:sz w:val="28"/>
          <w:szCs w:val="28"/>
          <w:shd w:val="clear" w:fill="FFFFFF"/>
        </w:rPr>
        <w:t>。</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按支出功能分类，一般公共服务支出决算为189.81万元，较上年减少51.08万元，下降21.2%。</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五、2021年一般公共预算财政拨款基本支出决算情况说明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一般公共预算财政拨款基本支出98.44万元，较上年下降16.75万元，降幅14.54%。其中，人员经费支出95.16万元，较上年下降16.23万元，降幅14.57%。人员经费主要包括：基本工资、津贴补贴、奖金、社会保险缴费、离退休费、医疗费、住房公积金、职业年金、机关事业单位养老保险等支出。日常公用经费支出3.28万元，较上年下降0.52万元，降幅13.68%。日常公用经费主要包括：办公费、印刷费、水费、电费、邮电费、物业管理费、差旅费、维修（护）费、租赁费、会议费、培训费、公务接待费、劳务费、工会经费、福利费、其他交通费、其他商品和服务支出、办公设备购置等。</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六、一般公共预算财政拨款“三公”经费支出决算情况说明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2</w:t>
      </w:r>
      <w:r>
        <w:rPr>
          <w:rStyle w:val="8"/>
          <w:rFonts w:hint="eastAsia" w:ascii="宋体" w:hAnsi="宋体" w:eastAsia="宋体" w:cs="宋体"/>
          <w:b w:val="0"/>
          <w:bCs/>
          <w:i w:val="0"/>
          <w:caps w:val="0"/>
          <w:color w:val="000000"/>
          <w:spacing w:val="0"/>
          <w:sz w:val="28"/>
          <w:szCs w:val="28"/>
          <w:shd w:val="clear" w:fill="FFFFFF"/>
        </w:rPr>
        <w:t>021年度“三公”经费支出决算数为0.3万元，与2020年支出决算数0万元相比增加0.3万元，</w:t>
      </w:r>
      <w:r>
        <w:rPr>
          <w:rStyle w:val="8"/>
          <w:rFonts w:hint="eastAsia" w:ascii="宋体" w:hAnsi="宋体" w:eastAsia="宋体" w:cs="宋体"/>
          <w:b w:val="0"/>
          <w:bCs/>
          <w:i w:val="0"/>
          <w:caps w:val="0"/>
          <w:color w:val="000000"/>
          <w:spacing w:val="0"/>
          <w:sz w:val="28"/>
          <w:szCs w:val="28"/>
          <w:shd w:val="clear" w:fill="FFFFFF"/>
          <w:lang w:eastAsia="zh-CN"/>
        </w:rPr>
        <w:t>是因</w:t>
      </w:r>
      <w:r>
        <w:rPr>
          <w:rStyle w:val="8"/>
          <w:rFonts w:hint="eastAsia" w:ascii="宋体" w:hAnsi="宋体" w:eastAsia="宋体" w:cs="宋体"/>
          <w:b w:val="0"/>
          <w:bCs/>
          <w:i w:val="0"/>
          <w:caps w:val="0"/>
          <w:color w:val="000000"/>
          <w:spacing w:val="0"/>
          <w:sz w:val="28"/>
          <w:szCs w:val="28"/>
          <w:shd w:val="clear" w:fill="FFFFFF"/>
        </w:rPr>
        <w:t>为今年有国家及省级领导部门调研科技统计业务工作，招待费用增加。与2021年年初预算0.24万元相比，招待费用增加0.06万元，是上级部门调研招待费用增加。其中:</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rPr>
        <w:t>1</w:t>
      </w:r>
      <w:r>
        <w:rPr>
          <w:rStyle w:val="8"/>
          <w:rFonts w:hint="eastAsia" w:ascii="宋体" w:hAnsi="宋体" w:eastAsia="宋体" w:cs="宋体"/>
          <w:b w:val="0"/>
          <w:bCs/>
          <w:i w:val="0"/>
          <w:caps w:val="0"/>
          <w:color w:val="000000"/>
          <w:spacing w:val="0"/>
          <w:sz w:val="28"/>
          <w:szCs w:val="28"/>
          <w:highlight w:val="none"/>
          <w:shd w:val="clear" w:fill="FFFFFF"/>
        </w:rPr>
        <w:t>、</w:t>
      </w:r>
      <w:r>
        <w:rPr>
          <w:rFonts w:hint="default" w:ascii="宋体" w:hAnsi="宋体" w:eastAsia="宋体" w:cs="宋体"/>
          <w:color w:val="000000"/>
          <w:kern w:val="0"/>
          <w:sz w:val="28"/>
          <w:szCs w:val="28"/>
          <w:highlight w:val="none"/>
          <w:lang w:val="en-US" w:eastAsia="zh-CN"/>
        </w:rPr>
        <w:t>因公出国（境）费用支出决算为0万元，</w:t>
      </w:r>
      <w:r>
        <w:rPr>
          <w:rFonts w:hint="eastAsia" w:ascii="宋体" w:hAnsi="宋体" w:eastAsia="宋体" w:cs="宋体"/>
          <w:color w:val="000000"/>
          <w:kern w:val="0"/>
          <w:sz w:val="28"/>
          <w:szCs w:val="28"/>
          <w:highlight w:val="none"/>
          <w:lang w:val="en-US" w:eastAsia="zh-CN"/>
        </w:rPr>
        <w:t>,团组数为0组，人数为0人</w:t>
      </w:r>
      <w:r>
        <w:rPr>
          <w:rFonts w:hint="default" w:ascii="宋体" w:hAnsi="宋体" w:eastAsia="宋体" w:cs="宋体"/>
          <w:color w:val="000000"/>
          <w:kern w:val="0"/>
          <w:sz w:val="28"/>
          <w:szCs w:val="28"/>
          <w:highlight w:val="none"/>
          <w:lang w:val="en-US" w:eastAsia="zh-CN"/>
        </w:rPr>
        <w:t>。与2020年决算数</w:t>
      </w:r>
      <w:r>
        <w:rPr>
          <w:rFonts w:hint="eastAsia" w:ascii="宋体" w:hAnsi="宋体" w:eastAsia="宋体" w:cs="宋体"/>
          <w:color w:val="000000"/>
          <w:kern w:val="0"/>
          <w:sz w:val="28"/>
          <w:szCs w:val="28"/>
          <w:highlight w:val="none"/>
          <w:lang w:val="en-US" w:eastAsia="zh-CN"/>
        </w:rPr>
        <w:t>0万元</w:t>
      </w:r>
      <w:r>
        <w:rPr>
          <w:rFonts w:hint="default" w:ascii="宋体" w:hAnsi="宋体" w:eastAsia="宋体" w:cs="宋体"/>
          <w:color w:val="000000"/>
          <w:kern w:val="0"/>
          <w:sz w:val="28"/>
          <w:szCs w:val="28"/>
          <w:highlight w:val="none"/>
          <w:lang w:val="en-US" w:eastAsia="zh-CN"/>
        </w:rPr>
        <w:t>相</w:t>
      </w:r>
      <w:r>
        <w:rPr>
          <w:rFonts w:hint="eastAsia" w:ascii="宋体" w:hAnsi="宋体" w:eastAsia="宋体" w:cs="宋体"/>
          <w:color w:val="000000"/>
          <w:kern w:val="0"/>
          <w:sz w:val="28"/>
          <w:szCs w:val="28"/>
          <w:highlight w:val="none"/>
          <w:lang w:val="en-US" w:eastAsia="zh-CN"/>
        </w:rPr>
        <w:t>比持平，原因是我单位无</w:t>
      </w:r>
      <w:r>
        <w:rPr>
          <w:rFonts w:hint="default" w:ascii="宋体" w:hAnsi="宋体" w:eastAsia="宋体" w:cs="宋体"/>
          <w:color w:val="000000"/>
          <w:kern w:val="0"/>
          <w:sz w:val="28"/>
          <w:szCs w:val="28"/>
          <w:highlight w:val="none"/>
          <w:lang w:val="en-US" w:eastAsia="zh-CN"/>
        </w:rPr>
        <w:t>因公出国（境）费用支出。与2021年预算</w:t>
      </w:r>
      <w:r>
        <w:rPr>
          <w:rFonts w:hint="eastAsia" w:ascii="宋体" w:hAnsi="宋体" w:eastAsia="宋体" w:cs="宋体"/>
          <w:color w:val="000000"/>
          <w:kern w:val="0"/>
          <w:sz w:val="28"/>
          <w:szCs w:val="28"/>
          <w:highlight w:val="none"/>
          <w:lang w:val="en-US" w:eastAsia="zh-CN"/>
        </w:rPr>
        <w:t>数0万元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原因是我单位无</w:t>
      </w:r>
      <w:r>
        <w:rPr>
          <w:rFonts w:hint="default" w:ascii="宋体" w:hAnsi="宋体" w:eastAsia="宋体" w:cs="宋体"/>
          <w:color w:val="000000"/>
          <w:kern w:val="0"/>
          <w:sz w:val="28"/>
          <w:szCs w:val="28"/>
          <w:highlight w:val="none"/>
          <w:lang w:val="en-US" w:eastAsia="zh-CN"/>
        </w:rPr>
        <w:t>因公出国（境）费用支出</w:t>
      </w:r>
      <w:r>
        <w:rPr>
          <w:rFonts w:hint="eastAsia" w:ascii="宋体" w:hAnsi="宋体" w:eastAsia="宋体" w:cs="宋体"/>
          <w:color w:val="000000"/>
          <w:kern w:val="0"/>
          <w:sz w:val="28"/>
          <w:szCs w:val="28"/>
          <w:highlight w:val="none"/>
          <w:lang w:val="en-US" w:eastAsia="zh-CN"/>
        </w:rPr>
        <w:t>。</w:t>
      </w:r>
      <w:r>
        <w:rPr>
          <w:rStyle w:val="8"/>
          <w:rFonts w:hint="eastAsia" w:ascii="宋体" w:hAnsi="宋体" w:eastAsia="宋体" w:cs="宋体"/>
          <w:b w:val="0"/>
          <w:bCs/>
          <w:i w:val="0"/>
          <w:caps w:val="0"/>
          <w:color w:val="000000"/>
          <w:spacing w:val="0"/>
          <w:sz w:val="28"/>
          <w:szCs w:val="28"/>
          <w:highlight w:val="none"/>
          <w:shd w:val="clear" w:fill="FFFFFF"/>
        </w:rPr>
        <w:br w:type="textWrapping"/>
      </w:r>
      <w:r>
        <w:rPr>
          <w:rStyle w:val="8"/>
          <w:rFonts w:hint="eastAsia" w:ascii="宋体" w:hAnsi="宋体" w:eastAsia="宋体" w:cs="宋体"/>
          <w:b w:val="0"/>
          <w:bCs/>
          <w:i w:val="0"/>
          <w:caps w:val="0"/>
          <w:color w:val="000000"/>
          <w:spacing w:val="0"/>
          <w:sz w:val="28"/>
          <w:szCs w:val="28"/>
          <w:highlight w:val="none"/>
          <w:shd w:val="clear" w:fill="FFFFFF"/>
        </w:rPr>
        <w:t>2、</w:t>
      </w:r>
      <w:r>
        <w:rPr>
          <w:rFonts w:hint="default" w:ascii="宋体" w:hAnsi="宋体" w:eastAsia="宋体" w:cs="宋体"/>
          <w:color w:val="000000"/>
          <w:kern w:val="0"/>
          <w:sz w:val="28"/>
          <w:szCs w:val="28"/>
          <w:highlight w:val="none"/>
          <w:lang w:val="en-US" w:eastAsia="zh-CN"/>
        </w:rPr>
        <w:t>2021年公务用车购置及运行维护费支出决算数为</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万元，与2020年决算数</w:t>
      </w:r>
      <w:r>
        <w:rPr>
          <w:rFonts w:hint="eastAsia" w:ascii="宋体" w:hAnsi="宋体" w:eastAsia="宋体" w:cs="宋体"/>
          <w:color w:val="000000"/>
          <w:kern w:val="0"/>
          <w:sz w:val="28"/>
          <w:szCs w:val="28"/>
          <w:highlight w:val="none"/>
          <w:lang w:val="en-US" w:eastAsia="zh-CN"/>
        </w:rPr>
        <w:t>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持平，原因是单位公车改革后无公务用车。</w:t>
      </w:r>
      <w:r>
        <w:rPr>
          <w:rFonts w:hint="default" w:ascii="宋体" w:hAnsi="宋体" w:eastAsia="宋体" w:cs="宋体"/>
          <w:color w:val="000000"/>
          <w:kern w:val="0"/>
          <w:sz w:val="28"/>
          <w:szCs w:val="28"/>
          <w:highlight w:val="none"/>
          <w:lang w:val="en-US" w:eastAsia="zh-CN"/>
        </w:rPr>
        <w:t>与2021年预算</w:t>
      </w:r>
      <w:r>
        <w:rPr>
          <w:rFonts w:hint="eastAsia" w:ascii="宋体" w:hAnsi="宋体" w:eastAsia="宋体" w:cs="宋体"/>
          <w:color w:val="000000"/>
          <w:kern w:val="0"/>
          <w:sz w:val="28"/>
          <w:szCs w:val="28"/>
          <w:highlight w:val="none"/>
          <w:lang w:val="en-US" w:eastAsia="zh-CN"/>
        </w:rPr>
        <w:t>数0万元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原因是单位公车改革后无公务用车。</w:t>
      </w:r>
      <w:r>
        <w:rPr>
          <w:rFonts w:hint="default" w:ascii="宋体" w:hAnsi="宋体" w:eastAsia="宋体" w:cs="宋体"/>
          <w:color w:val="000000"/>
          <w:kern w:val="0"/>
          <w:sz w:val="28"/>
          <w:szCs w:val="28"/>
          <w:highlight w:val="none"/>
          <w:lang w:val="en-US" w:eastAsia="zh-CN"/>
        </w:rPr>
        <w:t>其中：</w:t>
      </w:r>
      <w:r>
        <w:rPr>
          <w:rFonts w:hint="eastAsia" w:ascii="宋体" w:hAnsi="宋体" w:eastAsia="宋体" w:cs="宋体"/>
          <w:color w:val="000000"/>
          <w:kern w:val="0"/>
          <w:sz w:val="28"/>
          <w:szCs w:val="28"/>
          <w:highlight w:val="none"/>
          <w:lang w:val="en-US" w:eastAsia="zh-CN"/>
        </w:rPr>
        <w:br w:type="textWrapping"/>
      </w:r>
      <w:r>
        <w:rPr>
          <w:rFonts w:hint="eastAsia" w:ascii="宋体" w:hAnsi="宋体" w:eastAsia="宋体" w:cs="宋体"/>
          <w:color w:val="000000"/>
          <w:kern w:val="0"/>
          <w:sz w:val="28"/>
          <w:szCs w:val="28"/>
          <w:highlight w:val="none"/>
          <w:lang w:val="en-US" w:eastAsia="zh-CN"/>
        </w:rPr>
        <w:t>（1）我单位</w:t>
      </w:r>
      <w:r>
        <w:rPr>
          <w:rFonts w:hint="default" w:ascii="宋体" w:hAnsi="宋体" w:eastAsia="宋体" w:cs="宋体"/>
          <w:color w:val="000000"/>
          <w:kern w:val="0"/>
          <w:sz w:val="28"/>
          <w:szCs w:val="28"/>
          <w:highlight w:val="none"/>
          <w:lang w:val="en-US" w:eastAsia="zh-CN"/>
        </w:rPr>
        <w:t>公务用车购置费为0万元，车型为：无 ，本年度公务用车购置数0辆</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公务用车保有量为</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台</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与2020年决算数</w:t>
      </w:r>
      <w:r>
        <w:rPr>
          <w:rFonts w:hint="eastAsia" w:ascii="宋体" w:hAnsi="宋体" w:eastAsia="宋体" w:cs="宋体"/>
          <w:color w:val="000000"/>
          <w:kern w:val="0"/>
          <w:sz w:val="28"/>
          <w:szCs w:val="28"/>
          <w:highlight w:val="none"/>
          <w:lang w:val="en-US" w:eastAsia="zh-CN"/>
        </w:rPr>
        <w:t>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持平，原因是我单位未购置车辆</w:t>
      </w:r>
      <w:r>
        <w:rPr>
          <w:rFonts w:hint="default" w:ascii="宋体" w:hAnsi="宋体" w:eastAsia="宋体" w:cs="宋体"/>
          <w:color w:val="000000"/>
          <w:kern w:val="0"/>
          <w:sz w:val="28"/>
          <w:szCs w:val="28"/>
          <w:highlight w:val="none"/>
          <w:lang w:val="en-US" w:eastAsia="zh-CN"/>
        </w:rPr>
        <w:t>。与2021年预算</w:t>
      </w:r>
      <w:r>
        <w:rPr>
          <w:rFonts w:hint="eastAsia" w:ascii="宋体" w:hAnsi="宋体" w:eastAsia="宋体" w:cs="宋体"/>
          <w:color w:val="000000"/>
          <w:kern w:val="0"/>
          <w:sz w:val="28"/>
          <w:szCs w:val="28"/>
          <w:highlight w:val="none"/>
          <w:lang w:val="en-US" w:eastAsia="zh-CN"/>
        </w:rPr>
        <w:t>数0万元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原因是我单位未购置车辆</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br w:type="textWrapping"/>
      </w:r>
      <w:r>
        <w:rPr>
          <w:rFonts w:hint="eastAsia" w:ascii="宋体" w:hAnsi="宋体" w:eastAsia="宋体" w:cs="宋体"/>
          <w:color w:val="000000"/>
          <w:kern w:val="0"/>
          <w:sz w:val="28"/>
          <w:szCs w:val="28"/>
          <w:highlight w:val="none"/>
          <w:lang w:val="en-US" w:eastAsia="zh-CN"/>
        </w:rPr>
        <w:t>（2）</w:t>
      </w:r>
      <w:r>
        <w:rPr>
          <w:rFonts w:hint="default" w:ascii="宋体" w:hAnsi="宋体" w:eastAsia="宋体" w:cs="宋体"/>
          <w:color w:val="000000"/>
          <w:kern w:val="0"/>
          <w:sz w:val="28"/>
          <w:szCs w:val="28"/>
          <w:highlight w:val="none"/>
          <w:lang w:val="en-US" w:eastAsia="zh-CN"/>
        </w:rPr>
        <w:t>公务用车运行维护费</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万元，与2020年支出决算数</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相比持平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原因是单位公车改革后无公务用车。与2021年预算数0万元相比持平,原因</w:t>
      </w:r>
      <w:r>
        <w:rPr>
          <w:rFonts w:hint="default" w:ascii="宋体" w:hAnsi="宋体" w:eastAsia="宋体" w:cs="宋体"/>
          <w:color w:val="000000"/>
          <w:kern w:val="0"/>
          <w:sz w:val="28"/>
          <w:szCs w:val="28"/>
          <w:highlight w:val="none"/>
          <w:lang w:val="en-US" w:eastAsia="zh-CN"/>
        </w:rPr>
        <w:t>是</w:t>
      </w:r>
      <w:r>
        <w:rPr>
          <w:rFonts w:hint="eastAsia" w:ascii="宋体" w:hAnsi="宋体" w:eastAsia="宋体" w:cs="宋体"/>
          <w:color w:val="000000"/>
          <w:kern w:val="0"/>
          <w:sz w:val="28"/>
          <w:szCs w:val="28"/>
          <w:highlight w:val="none"/>
          <w:lang w:val="en-US" w:eastAsia="zh-CN"/>
        </w:rPr>
        <w:t>单位公车改革后无公务用车。</w:t>
      </w:r>
      <w:r>
        <w:rPr>
          <w:rStyle w:val="8"/>
          <w:rFonts w:hint="eastAsia" w:ascii="宋体" w:hAnsi="宋体" w:eastAsia="宋体" w:cs="宋体"/>
          <w:b w:val="0"/>
          <w:bCs/>
          <w:i w:val="0"/>
          <w:caps w:val="0"/>
          <w:color w:val="000000"/>
          <w:spacing w:val="0"/>
          <w:sz w:val="28"/>
          <w:szCs w:val="28"/>
          <w:highlight w:val="none"/>
          <w:shd w:val="clear" w:fill="FFFFFF"/>
        </w:rPr>
        <w:br w:type="textWrapping"/>
      </w:r>
      <w:r>
        <w:rPr>
          <w:rStyle w:val="8"/>
          <w:rFonts w:hint="eastAsia" w:ascii="宋体" w:hAnsi="宋体" w:eastAsia="宋体" w:cs="宋体"/>
          <w:b w:val="0"/>
          <w:bCs/>
          <w:i w:val="0"/>
          <w:caps w:val="0"/>
          <w:color w:val="000000"/>
          <w:spacing w:val="0"/>
          <w:sz w:val="28"/>
          <w:szCs w:val="28"/>
          <w:highlight w:val="none"/>
          <w:shd w:val="clear" w:fill="FFFFFF"/>
        </w:rPr>
        <w:t>3、</w:t>
      </w:r>
      <w:r>
        <w:rPr>
          <w:rFonts w:hint="default" w:ascii="宋体" w:hAnsi="宋体" w:eastAsia="宋体" w:cs="宋体"/>
          <w:color w:val="000000"/>
          <w:kern w:val="0"/>
          <w:sz w:val="28"/>
          <w:szCs w:val="28"/>
          <w:highlight w:val="none"/>
          <w:lang w:val="en-US" w:eastAsia="zh-CN"/>
        </w:rPr>
        <w:t>公务接待支出决算数为</w:t>
      </w:r>
      <w:r>
        <w:rPr>
          <w:rFonts w:hint="eastAsia" w:ascii="宋体" w:hAnsi="宋体" w:eastAsia="宋体" w:cs="宋体"/>
          <w:color w:val="000000"/>
          <w:kern w:val="0"/>
          <w:sz w:val="28"/>
          <w:szCs w:val="28"/>
          <w:highlight w:val="none"/>
          <w:lang w:val="en-US" w:eastAsia="zh-CN"/>
        </w:rPr>
        <w:t>0.3</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共接待</w:t>
      </w:r>
      <w:r>
        <w:rPr>
          <w:rFonts w:hint="eastAsia" w:ascii="宋体" w:hAnsi="宋体" w:eastAsia="宋体" w:cs="宋体"/>
          <w:color w:val="000000"/>
          <w:kern w:val="0"/>
          <w:sz w:val="28"/>
          <w:szCs w:val="28"/>
          <w:highlight w:val="none"/>
          <w:lang w:val="en-US" w:eastAsia="zh-CN"/>
        </w:rPr>
        <w:t>2</w:t>
      </w:r>
      <w:r>
        <w:rPr>
          <w:rFonts w:hint="default" w:ascii="宋体" w:hAnsi="宋体" w:eastAsia="宋体" w:cs="宋体"/>
          <w:color w:val="000000"/>
          <w:kern w:val="0"/>
          <w:sz w:val="28"/>
          <w:szCs w:val="28"/>
          <w:highlight w:val="none"/>
          <w:lang w:val="en-US" w:eastAsia="zh-CN"/>
        </w:rPr>
        <w:t>批次、</w:t>
      </w:r>
      <w:r>
        <w:rPr>
          <w:rFonts w:hint="eastAsia" w:ascii="宋体" w:hAnsi="宋体" w:eastAsia="宋体" w:cs="宋体"/>
          <w:color w:val="000000"/>
          <w:kern w:val="0"/>
          <w:sz w:val="28"/>
          <w:szCs w:val="28"/>
          <w:highlight w:val="none"/>
          <w:lang w:val="en-US" w:eastAsia="zh-CN"/>
        </w:rPr>
        <w:t>22</w:t>
      </w:r>
      <w:r>
        <w:rPr>
          <w:rFonts w:hint="default" w:ascii="宋体" w:hAnsi="宋体" w:eastAsia="宋体" w:cs="宋体"/>
          <w:color w:val="000000"/>
          <w:kern w:val="0"/>
          <w:sz w:val="28"/>
          <w:szCs w:val="28"/>
          <w:highlight w:val="none"/>
          <w:lang w:val="en-US" w:eastAsia="zh-CN"/>
        </w:rPr>
        <w:t>人。</w:t>
      </w:r>
      <w:r>
        <w:rPr>
          <w:rFonts w:hint="eastAsia" w:ascii="宋体" w:hAnsi="宋体" w:eastAsia="宋体" w:cs="宋体"/>
          <w:color w:val="000000"/>
          <w:kern w:val="0"/>
          <w:sz w:val="28"/>
          <w:szCs w:val="28"/>
          <w:highlight w:val="none"/>
          <w:lang w:val="en-US" w:eastAsia="zh-CN"/>
        </w:rPr>
        <w:t>与2021年预算数0.24万元相比增加0.06万元，原因是</w:t>
      </w:r>
      <w:r>
        <w:rPr>
          <w:rStyle w:val="8"/>
          <w:rFonts w:hint="eastAsia" w:ascii="宋体" w:hAnsi="宋体" w:eastAsia="宋体" w:cs="宋体"/>
          <w:b w:val="0"/>
          <w:bCs/>
          <w:i w:val="0"/>
          <w:caps w:val="0"/>
          <w:color w:val="000000"/>
          <w:spacing w:val="0"/>
          <w:sz w:val="28"/>
          <w:szCs w:val="28"/>
          <w:highlight w:val="none"/>
          <w:shd w:val="clear" w:fill="FFFFFF"/>
        </w:rPr>
        <w:t>上级部门调研招待费用增加</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与2020年支出决算数</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万元相比</w:t>
      </w:r>
      <w:r>
        <w:rPr>
          <w:rFonts w:hint="eastAsia" w:ascii="宋体" w:hAnsi="宋体" w:eastAsia="宋体" w:cs="宋体"/>
          <w:color w:val="000000"/>
          <w:kern w:val="0"/>
          <w:sz w:val="28"/>
          <w:szCs w:val="28"/>
          <w:highlight w:val="none"/>
          <w:lang w:val="en-US" w:eastAsia="zh-CN"/>
        </w:rPr>
        <w:t>增加0.3</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原因</w:t>
      </w:r>
      <w:r>
        <w:rPr>
          <w:rFonts w:hint="eastAsia" w:ascii="宋体" w:hAnsi="宋体" w:eastAsia="宋体" w:cs="宋体"/>
          <w:color w:val="000000"/>
          <w:kern w:val="0"/>
          <w:sz w:val="28"/>
          <w:szCs w:val="28"/>
          <w:highlight w:val="none"/>
          <w:lang w:val="en-US" w:eastAsia="zh-CN"/>
        </w:rPr>
        <w:t>是</w:t>
      </w:r>
      <w:r>
        <w:rPr>
          <w:rStyle w:val="8"/>
          <w:rFonts w:hint="eastAsia" w:ascii="宋体" w:hAnsi="宋体" w:eastAsia="宋体" w:cs="宋体"/>
          <w:b w:val="0"/>
          <w:bCs/>
          <w:i w:val="0"/>
          <w:caps w:val="0"/>
          <w:color w:val="000000"/>
          <w:spacing w:val="0"/>
          <w:sz w:val="28"/>
          <w:szCs w:val="28"/>
          <w:highlight w:val="none"/>
          <w:shd w:val="clear" w:fill="FFFFFF"/>
        </w:rPr>
        <w:t>今年有国家及省级领导部门调研科技统计业务工作，招待费用增加</w:t>
      </w:r>
      <w:r>
        <w:rPr>
          <w:rStyle w:val="8"/>
          <w:rFonts w:hint="eastAsia" w:ascii="宋体" w:hAnsi="宋体" w:eastAsia="宋体" w:cs="宋体"/>
          <w:b w:val="0"/>
          <w:bCs/>
          <w:i w:val="0"/>
          <w:caps w:val="0"/>
          <w:color w:val="000000"/>
          <w:spacing w:val="0"/>
          <w:sz w:val="28"/>
          <w:szCs w:val="28"/>
          <w:highlight w:val="none"/>
          <w:shd w:val="clear" w:fill="FFFFFF"/>
          <w:lang w:eastAsia="zh-CN"/>
        </w:rPr>
        <w:t>。</w:t>
      </w:r>
      <w:r>
        <w:rPr>
          <w:rStyle w:val="8"/>
          <w:rFonts w:hint="eastAsia" w:ascii="宋体" w:hAnsi="宋体" w:eastAsia="宋体" w:cs="宋体"/>
          <w:b w:val="0"/>
          <w:bCs/>
          <w:i w:val="0"/>
          <w:caps w:val="0"/>
          <w:color w:val="000000"/>
          <w:spacing w:val="0"/>
          <w:sz w:val="28"/>
          <w:szCs w:val="28"/>
          <w:highlight w:val="none"/>
          <w:shd w:val="clear" w:fill="FFFFFF"/>
        </w:rPr>
        <w:br w:type="textWrapping"/>
      </w:r>
      <w:r>
        <w:rPr>
          <w:rStyle w:val="8"/>
          <w:rFonts w:hint="default" w:ascii="Arial" w:hAnsi="Arial" w:eastAsia="宋体" w:cs="Arial"/>
          <w:i w:val="0"/>
          <w:caps w:val="0"/>
          <w:color w:val="000000"/>
          <w:spacing w:val="0"/>
          <w:sz w:val="27"/>
          <w:szCs w:val="27"/>
          <w:shd w:val="clear" w:fill="FFFFFF"/>
        </w:rPr>
        <w:t>七、机关运行经费执行情况说明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 2021年度机关运行经费3.28万元，较202</w:t>
      </w:r>
      <w:r>
        <w:rPr>
          <w:rStyle w:val="8"/>
          <w:rFonts w:hint="eastAsia" w:ascii="宋体" w:hAnsi="宋体" w:eastAsia="宋体" w:cs="宋体"/>
          <w:b w:val="0"/>
          <w:bCs/>
          <w:i w:val="0"/>
          <w:caps w:val="0"/>
          <w:color w:val="000000"/>
          <w:spacing w:val="0"/>
          <w:sz w:val="28"/>
          <w:szCs w:val="28"/>
          <w:shd w:val="clear" w:fill="FFFFFF"/>
          <w:lang w:val="en-US" w:eastAsia="zh-CN"/>
        </w:rPr>
        <w:t>1</w:t>
      </w:r>
      <w:r>
        <w:rPr>
          <w:rStyle w:val="8"/>
          <w:rFonts w:hint="eastAsia" w:ascii="宋体" w:hAnsi="宋体" w:eastAsia="宋体" w:cs="宋体"/>
          <w:b w:val="0"/>
          <w:bCs/>
          <w:i w:val="0"/>
          <w:caps w:val="0"/>
          <w:color w:val="000000"/>
          <w:spacing w:val="0"/>
          <w:sz w:val="28"/>
          <w:szCs w:val="28"/>
          <w:shd w:val="clear" w:fill="FFFFFF"/>
        </w:rPr>
        <w:t>年</w:t>
      </w:r>
      <w:r>
        <w:rPr>
          <w:rStyle w:val="8"/>
          <w:rFonts w:hint="eastAsia" w:ascii="宋体" w:hAnsi="宋体" w:eastAsia="宋体" w:cs="宋体"/>
          <w:b w:val="0"/>
          <w:bCs/>
          <w:i w:val="0"/>
          <w:caps w:val="0"/>
          <w:color w:val="000000"/>
          <w:spacing w:val="0"/>
          <w:sz w:val="28"/>
          <w:szCs w:val="28"/>
          <w:shd w:val="clear" w:fill="FFFFFF"/>
          <w:lang w:eastAsia="zh-CN"/>
        </w:rPr>
        <w:t>预算</w:t>
      </w:r>
      <w:r>
        <w:rPr>
          <w:rStyle w:val="8"/>
          <w:rFonts w:hint="eastAsia" w:ascii="宋体" w:hAnsi="宋体" w:eastAsia="宋体" w:cs="宋体"/>
          <w:b w:val="0"/>
          <w:bCs/>
          <w:i w:val="0"/>
          <w:caps w:val="0"/>
          <w:color w:val="000000"/>
          <w:spacing w:val="0"/>
          <w:sz w:val="28"/>
          <w:szCs w:val="28"/>
          <w:shd w:val="clear" w:fill="FFFFFF"/>
          <w:lang w:val="en-US" w:eastAsia="zh-CN"/>
        </w:rPr>
        <w:t>5.38</w:t>
      </w:r>
      <w:r>
        <w:rPr>
          <w:rStyle w:val="8"/>
          <w:rFonts w:hint="eastAsia" w:ascii="宋体" w:hAnsi="宋体" w:eastAsia="宋体" w:cs="宋体"/>
          <w:b w:val="0"/>
          <w:bCs/>
          <w:i w:val="0"/>
          <w:caps w:val="0"/>
          <w:color w:val="000000"/>
          <w:spacing w:val="0"/>
          <w:sz w:val="28"/>
          <w:szCs w:val="28"/>
          <w:shd w:val="clear" w:fill="FFFFFF"/>
        </w:rPr>
        <w:t>万元减少</w:t>
      </w:r>
      <w:r>
        <w:rPr>
          <w:rStyle w:val="8"/>
          <w:rFonts w:hint="eastAsia" w:ascii="宋体" w:hAnsi="宋体" w:eastAsia="宋体" w:cs="宋体"/>
          <w:b w:val="0"/>
          <w:bCs/>
          <w:i w:val="0"/>
          <w:caps w:val="0"/>
          <w:color w:val="000000"/>
          <w:spacing w:val="0"/>
          <w:sz w:val="28"/>
          <w:szCs w:val="28"/>
          <w:shd w:val="clear" w:fill="FFFFFF"/>
          <w:lang w:val="en-US" w:eastAsia="zh-CN"/>
        </w:rPr>
        <w:t>2.1</w:t>
      </w:r>
      <w:r>
        <w:rPr>
          <w:rStyle w:val="8"/>
          <w:rFonts w:hint="eastAsia" w:ascii="宋体" w:hAnsi="宋体" w:eastAsia="宋体" w:cs="宋体"/>
          <w:b w:val="0"/>
          <w:bCs/>
          <w:i w:val="0"/>
          <w:caps w:val="0"/>
          <w:color w:val="000000"/>
          <w:spacing w:val="0"/>
          <w:sz w:val="28"/>
          <w:szCs w:val="28"/>
          <w:shd w:val="clear" w:fill="FFFFFF"/>
        </w:rPr>
        <w:t>万元。主要是</w:t>
      </w:r>
      <w:r>
        <w:rPr>
          <w:rStyle w:val="8"/>
          <w:rFonts w:hint="eastAsia" w:ascii="宋体" w:hAnsi="宋体" w:eastAsia="宋体" w:cs="宋体"/>
          <w:b w:val="0"/>
          <w:bCs/>
          <w:i w:val="0"/>
          <w:caps w:val="0"/>
          <w:color w:val="000000"/>
          <w:spacing w:val="0"/>
          <w:sz w:val="28"/>
          <w:szCs w:val="28"/>
          <w:shd w:val="clear" w:fill="FFFFFF"/>
          <w:lang w:eastAsia="zh-CN"/>
        </w:rPr>
        <w:t>今年将</w:t>
      </w:r>
      <w:r>
        <w:rPr>
          <w:rStyle w:val="8"/>
          <w:rFonts w:hint="eastAsia" w:ascii="宋体" w:hAnsi="宋体" w:eastAsia="宋体" w:cs="宋体"/>
          <w:b w:val="0"/>
          <w:bCs/>
          <w:i w:val="0"/>
          <w:caps w:val="0"/>
          <w:color w:val="000000"/>
          <w:spacing w:val="0"/>
          <w:sz w:val="28"/>
          <w:szCs w:val="28"/>
          <w:shd w:val="clear" w:fill="FFFFFF"/>
        </w:rPr>
        <w:t>公务交通补贴</w:t>
      </w:r>
      <w:r>
        <w:rPr>
          <w:rStyle w:val="8"/>
          <w:rFonts w:hint="eastAsia" w:ascii="宋体" w:hAnsi="宋体" w:eastAsia="宋体" w:cs="宋体"/>
          <w:b w:val="0"/>
          <w:bCs/>
          <w:i w:val="0"/>
          <w:caps w:val="0"/>
          <w:color w:val="000000"/>
          <w:spacing w:val="0"/>
          <w:sz w:val="28"/>
          <w:szCs w:val="28"/>
          <w:shd w:val="clear" w:fill="FFFFFF"/>
          <w:lang w:eastAsia="zh-CN"/>
        </w:rPr>
        <w:t>记</w:t>
      </w:r>
      <w:r>
        <w:rPr>
          <w:rStyle w:val="8"/>
          <w:rFonts w:hint="eastAsia" w:ascii="宋体" w:hAnsi="宋体" w:eastAsia="宋体" w:cs="宋体"/>
          <w:b w:val="0"/>
          <w:bCs/>
          <w:i w:val="0"/>
          <w:caps w:val="0"/>
          <w:color w:val="000000"/>
          <w:spacing w:val="0"/>
          <w:sz w:val="28"/>
          <w:szCs w:val="28"/>
          <w:shd w:val="clear" w:fill="FFFFFF"/>
        </w:rPr>
        <w:t>入人员经费。</w:t>
      </w:r>
      <w:r>
        <w:rPr>
          <w:rStyle w:val="8"/>
          <w:rFonts w:hint="eastAsia" w:ascii="宋体" w:hAnsi="宋体" w:eastAsia="宋体" w:cs="宋体"/>
          <w:b w:val="0"/>
          <w:bCs/>
          <w:i w:val="0"/>
          <w:caps w:val="0"/>
          <w:color w:val="000000"/>
          <w:spacing w:val="0"/>
          <w:sz w:val="28"/>
          <w:szCs w:val="28"/>
          <w:shd w:val="clear" w:fill="FFFFFF"/>
          <w:lang w:eastAsia="zh-CN"/>
        </w:rPr>
        <w:t>与</w:t>
      </w:r>
      <w:r>
        <w:rPr>
          <w:rStyle w:val="8"/>
          <w:rFonts w:hint="eastAsia" w:ascii="宋体" w:hAnsi="宋体" w:eastAsia="宋体" w:cs="宋体"/>
          <w:b w:val="0"/>
          <w:bCs/>
          <w:i w:val="0"/>
          <w:caps w:val="0"/>
          <w:color w:val="000000"/>
          <w:spacing w:val="0"/>
          <w:sz w:val="28"/>
          <w:szCs w:val="28"/>
          <w:shd w:val="clear" w:fill="FFFFFF"/>
          <w:lang w:val="en-US" w:eastAsia="zh-CN"/>
        </w:rPr>
        <w:t>2020年决算数3.8万元相比减少0.52万元，主要是2020年有支付聘用人员工资经费支出。</w:t>
      </w:r>
      <w:r>
        <w:rPr>
          <w:rStyle w:val="8"/>
          <w:rFonts w:hint="eastAsia" w:ascii="宋体" w:hAnsi="宋体" w:eastAsia="宋体" w:cs="宋体"/>
          <w:b w:val="0"/>
          <w:bCs/>
          <w:i w:val="0"/>
          <w:caps w:val="0"/>
          <w:color w:val="000000"/>
          <w:spacing w:val="0"/>
          <w:sz w:val="28"/>
          <w:szCs w:val="28"/>
          <w:shd w:val="clear" w:fill="FFFFFF"/>
        </w:rPr>
        <w:t>主要用于办公费0.29万元，电费0.43万元，邮电费0.29万元，差旅费0.09万元，维修（护）费0.1万元，工会经费1.45万元，福利费0.18万元，其他交通费0.01万元，其他商品和服务支出0.44万元。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八、政府采购执行情况说明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2021年度我单位政府采购预算计划金额0.4万元，其中一般公共预算0.4万元，其他资金0万元；主要用于购买货物0.4万元，工程0万元，服务0万元。授予中小企业合同金额 0.4万元，占政府采购支出总额的 100%，其中：授予小微企业合同金额0.4万元，占政府采购支出总额的 100%。</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2021年度我单位政府实际采购金额5.98万元，其中一般公共预算5.98万元，其他资金0万元；主要用于购买货物5.98万元，工程0万元，服务0万元。授予中小企业合同金额 5.98 万元，占政府采购支出总额的 100%，其中：授予小微企业合同金额5.98万元，占政府采购支出总额的100%。</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政府采购支出总额5.98万元比2020年度4.48万元增加1.5万元，</w:t>
      </w:r>
      <w:r>
        <w:rPr>
          <w:rStyle w:val="8"/>
          <w:rFonts w:hint="eastAsia" w:ascii="宋体" w:hAnsi="宋体" w:eastAsia="宋体" w:cs="宋体"/>
          <w:b w:val="0"/>
          <w:bCs/>
          <w:i w:val="0"/>
          <w:caps w:val="0"/>
          <w:color w:val="000000"/>
          <w:spacing w:val="0"/>
          <w:sz w:val="28"/>
          <w:szCs w:val="28"/>
          <w:shd w:val="clear" w:fill="FFFFFF"/>
          <w:lang w:eastAsia="zh-CN"/>
        </w:rPr>
        <w:t>涨</w:t>
      </w:r>
      <w:r>
        <w:rPr>
          <w:rStyle w:val="8"/>
          <w:rFonts w:hint="eastAsia" w:ascii="宋体" w:hAnsi="宋体" w:eastAsia="宋体" w:cs="宋体"/>
          <w:b w:val="0"/>
          <w:bCs/>
          <w:i w:val="0"/>
          <w:caps w:val="0"/>
          <w:color w:val="000000"/>
          <w:spacing w:val="0"/>
          <w:sz w:val="28"/>
          <w:szCs w:val="28"/>
          <w:shd w:val="clear" w:fill="FFFFFF"/>
        </w:rPr>
        <w:t>幅33.48%，主要原因:今年办公设备购置费用</w:t>
      </w:r>
      <w:r>
        <w:rPr>
          <w:rStyle w:val="8"/>
          <w:rFonts w:hint="eastAsia" w:ascii="宋体" w:hAnsi="宋体" w:eastAsia="宋体" w:cs="宋体"/>
          <w:b w:val="0"/>
          <w:bCs/>
          <w:i w:val="0"/>
          <w:caps w:val="0"/>
          <w:color w:val="000000"/>
          <w:spacing w:val="0"/>
          <w:sz w:val="28"/>
          <w:szCs w:val="28"/>
          <w:shd w:val="clear" w:fill="FFFFFF"/>
          <w:lang w:eastAsia="zh-CN"/>
        </w:rPr>
        <w:t>增加</w:t>
      </w:r>
      <w:r>
        <w:rPr>
          <w:rStyle w:val="8"/>
          <w:rFonts w:hint="eastAsia" w:ascii="宋体" w:hAnsi="宋体" w:eastAsia="宋体" w:cs="宋体"/>
          <w:b w:val="0"/>
          <w:bCs/>
          <w:i w:val="0"/>
          <w:caps w:val="0"/>
          <w:color w:val="000000"/>
          <w:spacing w:val="0"/>
          <w:sz w:val="28"/>
          <w:szCs w:val="28"/>
          <w:shd w:val="clear" w:fill="FFFFFF"/>
        </w:rPr>
        <w:t>。</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九、国有资产占用情况说明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2021年度我单位共占有车辆数0台，其中：一般公务用车0台，一般执法执勤车辆0台；单价50万元以上通用设备0台；单价100万元以上专用设备0台。其他固定资产（不包含房屋）37.11元。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十、其他情况</w:t>
      </w:r>
    </w:p>
    <w:p w14:paraId="1C927E26">
      <w:pPr>
        <w:widowControl/>
        <w:spacing w:before="300"/>
        <w:ind w:firstLine="560" w:firstLineChars="2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t>我单位无举借政府债务情况、无扶贫专项资金情况、无政府性基金预算收支情况、无财政专项支出情况、无专项转移支付情况。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十一、预算绩效工作开展情况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（一）预算绩效管理工作开展情况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根据预算绩效管理要求，我单位组织对2021年度一般公共预算项目支出全面开展绩效自评，共涉及项目2个，资金66万元（其中：一般公共预算拨款66万元，其他资金0万元，上年结余结转0万元），占一般公共预算项目支出总额的100%。从评价情况来看，2021年各项目绩效目标基本完成，项目立项程序完整、规范，绩效目标明确。预算编制合理，预算执行及时、有效；项目支出绩效自评结果较好，绩效管理水平不断提高，绩效指标体系建设逐渐丰富和完善。</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  组织开展了部门整体支出绩效评价工作，从评价情况来看，2021年我局较好地履行了统计部门的职能，整体支出资金严格按照相关法律法规、规范性文件的要求进行支出，预算执行总额控制在年初预算批复和预算追加额度内且有结余；产出情况良好，各项工作在预定时间内及时实施完成，绝大部分产出指标的指标值已达到年初设定目标值；项目实施效果比较明显，绝大部分效益指标的指标值已达到年初设定目标值。</w:t>
      </w:r>
    </w:p>
    <w:tbl>
      <w:tblPr>
        <w:tblStyle w:val="6"/>
        <w:tblW w:w="9585" w:type="dxa"/>
        <w:tblInd w:w="0" w:type="dxa"/>
        <w:shd w:val="clear" w:color="auto" w:fill="auto"/>
        <w:tblLayout w:type="autofit"/>
        <w:tblCellMar>
          <w:top w:w="0" w:type="dxa"/>
          <w:left w:w="0" w:type="dxa"/>
          <w:bottom w:w="0" w:type="dxa"/>
          <w:right w:w="0" w:type="dxa"/>
        </w:tblCellMar>
      </w:tblPr>
      <w:tblGrid>
        <w:gridCol w:w="647"/>
        <w:gridCol w:w="624"/>
        <w:gridCol w:w="768"/>
        <w:gridCol w:w="405"/>
        <w:gridCol w:w="2444"/>
        <w:gridCol w:w="2564"/>
        <w:gridCol w:w="660"/>
        <w:gridCol w:w="678"/>
        <w:gridCol w:w="795"/>
      </w:tblGrid>
      <w:tr w14:paraId="5B552850">
        <w:tblPrEx>
          <w:shd w:val="clear" w:color="auto" w:fill="auto"/>
        </w:tblPrEx>
        <w:trPr>
          <w:trHeight w:val="560" w:hRule="atLeast"/>
        </w:trPr>
        <w:tc>
          <w:tcPr>
            <w:tcW w:w="9588" w:type="dxa"/>
            <w:gridSpan w:val="9"/>
            <w:tcBorders>
              <w:top w:val="nil"/>
              <w:left w:val="nil"/>
              <w:bottom w:val="nil"/>
              <w:right w:val="nil"/>
            </w:tcBorders>
            <w:shd w:val="clear" w:color="auto" w:fill="FFFFFF"/>
            <w:tcMar>
              <w:top w:w="15" w:type="dxa"/>
              <w:left w:w="15" w:type="dxa"/>
              <w:right w:w="15" w:type="dxa"/>
            </w:tcMar>
            <w:vAlign w:val="center"/>
          </w:tcPr>
          <w:p w14:paraId="45C3ACA7">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2021年下陆区部门整体支出绩效自评表</w:t>
            </w:r>
          </w:p>
        </w:tc>
      </w:tr>
      <w:tr w14:paraId="24627EFC">
        <w:tblPrEx>
          <w:shd w:val="clear" w:color="auto" w:fill="auto"/>
          <w:tblCellMar>
            <w:top w:w="0" w:type="dxa"/>
            <w:left w:w="0" w:type="dxa"/>
            <w:bottom w:w="0" w:type="dxa"/>
            <w:right w:w="0" w:type="dxa"/>
          </w:tblCellMar>
        </w:tblPrEx>
        <w:trPr>
          <w:trHeight w:val="780"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A0DA7">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填报单位（盖章）：</w:t>
            </w:r>
          </w:p>
        </w:tc>
        <w:tc>
          <w:tcPr>
            <w:tcW w:w="36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486D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4A7D7">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填报日期：</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0579B">
            <w:pPr>
              <w:jc w:val="center"/>
              <w:rPr>
                <w:rFonts w:hint="eastAsia" w:ascii="仿宋_GB2312" w:hAnsi="宋体" w:eastAsia="仿宋_GB2312" w:cs="仿宋_GB2312"/>
                <w:i w:val="0"/>
                <w:color w:val="000000"/>
                <w:sz w:val="24"/>
                <w:szCs w:val="24"/>
                <w:u w:val="none"/>
              </w:rPr>
            </w:pPr>
          </w:p>
        </w:tc>
      </w:tr>
      <w:tr w14:paraId="3E56CEB1">
        <w:tblPrEx>
          <w:shd w:val="clear" w:color="auto" w:fill="auto"/>
          <w:tblCellMar>
            <w:top w:w="0" w:type="dxa"/>
            <w:left w:w="0" w:type="dxa"/>
            <w:bottom w:w="0" w:type="dxa"/>
            <w:right w:w="0" w:type="dxa"/>
          </w:tblCellMar>
        </w:tblPrEx>
        <w:trPr>
          <w:trHeight w:val="600"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674A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单位名称</w:t>
            </w:r>
          </w:p>
        </w:tc>
        <w:tc>
          <w:tcPr>
            <w:tcW w:w="6183"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D4A8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黄石市下陆区统计局</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166F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评价年度</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59EF7">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2021年</w:t>
            </w:r>
          </w:p>
        </w:tc>
      </w:tr>
      <w:tr w14:paraId="21BC19D5">
        <w:tblPrEx>
          <w:shd w:val="clear" w:color="auto" w:fill="auto"/>
          <w:tblCellMar>
            <w:top w:w="0" w:type="dxa"/>
            <w:left w:w="0" w:type="dxa"/>
            <w:bottom w:w="0" w:type="dxa"/>
            <w:right w:w="0" w:type="dxa"/>
          </w:tblCellMar>
        </w:tblPrEx>
        <w:trPr>
          <w:trHeight w:val="435" w:hRule="atLeast"/>
        </w:trPr>
        <w:tc>
          <w:tcPr>
            <w:tcW w:w="244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EFBB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基本支出决算数总额</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67319">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98.44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4C56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项目支出决算数总额</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71AB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91.37</w:t>
            </w:r>
          </w:p>
        </w:tc>
      </w:tr>
      <w:tr w14:paraId="3212CB58">
        <w:tblPrEx>
          <w:shd w:val="clear" w:color="auto" w:fill="auto"/>
          <w:tblCellMar>
            <w:top w:w="0" w:type="dxa"/>
            <w:left w:w="0" w:type="dxa"/>
            <w:bottom w:w="0" w:type="dxa"/>
            <w:right w:w="0" w:type="dxa"/>
          </w:tblCellMar>
        </w:tblPrEx>
        <w:trPr>
          <w:trHeight w:val="495" w:hRule="atLeast"/>
        </w:trPr>
        <w:tc>
          <w:tcPr>
            <w:tcW w:w="2445"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3A49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部门整体支出总额预算执行情况（万元）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5E4B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执行数（A）</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FDBF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预算数（B）</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F352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执行率（A/B）</w:t>
            </w:r>
          </w:p>
        </w:tc>
      </w:tr>
      <w:tr w14:paraId="2EC333CE">
        <w:tblPrEx>
          <w:shd w:val="clear" w:color="auto" w:fill="auto"/>
          <w:tblCellMar>
            <w:top w:w="0" w:type="dxa"/>
            <w:left w:w="0" w:type="dxa"/>
            <w:bottom w:w="0" w:type="dxa"/>
            <w:right w:w="0" w:type="dxa"/>
          </w:tblCellMar>
        </w:tblPrEx>
        <w:trPr>
          <w:trHeight w:val="400" w:hRule="atLeast"/>
        </w:trPr>
        <w:tc>
          <w:tcPr>
            <w:tcW w:w="244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8BB50">
            <w:pPr>
              <w:jc w:val="center"/>
              <w:rPr>
                <w:rFonts w:hint="eastAsia" w:ascii="仿宋_GB2312" w:hAnsi="宋体" w:eastAsia="仿宋_GB2312" w:cs="仿宋_GB2312"/>
                <w:i w:val="0"/>
                <w:color w:val="000000"/>
                <w:sz w:val="20"/>
                <w:szCs w:val="20"/>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CD50D">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189.81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A3FBC">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158.27</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8A60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119.93%</w:t>
            </w:r>
          </w:p>
        </w:tc>
      </w:tr>
      <w:tr w14:paraId="3AB05979">
        <w:tblPrEx>
          <w:shd w:val="clear" w:color="auto" w:fill="auto"/>
          <w:tblCellMar>
            <w:top w:w="0" w:type="dxa"/>
            <w:left w:w="0" w:type="dxa"/>
            <w:bottom w:w="0" w:type="dxa"/>
            <w:right w:w="0" w:type="dxa"/>
          </w:tblCellMar>
        </w:tblPrEx>
        <w:trPr>
          <w:trHeight w:val="9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D371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指标</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70FC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指标</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5C72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942C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C739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指标说明</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D8DB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评分标准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142E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年初目标值</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E8A0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实际完成值</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9E52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6DB61542">
        <w:tblPrEx>
          <w:shd w:val="clear" w:color="auto" w:fill="auto"/>
          <w:tblCellMar>
            <w:top w:w="0" w:type="dxa"/>
            <w:left w:w="0" w:type="dxa"/>
            <w:bottom w:w="0" w:type="dxa"/>
            <w:right w:w="0" w:type="dxa"/>
          </w:tblCellMar>
        </w:tblPrEx>
        <w:trPr>
          <w:trHeight w:val="326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0A6E4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552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预算执行（35分）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64D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C79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D45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预算完成率=（预算完成数/预算数）×100%，用以反映和考核部门（单位）预算完成程度。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预算完成数：部门（单位）本年度实际完成的预算数。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预算数：财政部门批复的本年度部门（单位）预算数。</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8AF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预算完成率＝100%的，得10分。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预算完成率≥95%的，得9分。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预算完成率在90%（含）和95%之间，得8分。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预算完成率在85%（含）和90%之间，得7分。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预算完成率在80%（含）和85%之间，得6分。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预算完成率在70%（含）和80%之间，得4分。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预算完成率＜70%的，得0分。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F45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F73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27A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1923C3BC">
        <w:tblPrEx>
          <w:shd w:val="clear" w:color="auto" w:fill="auto"/>
          <w:tblCellMar>
            <w:top w:w="0" w:type="dxa"/>
            <w:left w:w="0" w:type="dxa"/>
            <w:bottom w:w="0" w:type="dxa"/>
            <w:right w:w="0" w:type="dxa"/>
          </w:tblCellMar>
        </w:tblPrEx>
        <w:trPr>
          <w:trHeight w:val="34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ECF817">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30499">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6A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2C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D05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预算调整率=（预算调整数/预算数）×100%，用以反映和考核部门（单位）预算的调整程度。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预算包括一般公共预算与政府性基金预算。</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74A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预算调整率绝对值≤5%，得10分。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预算调整率绝对值＞5%的，每增加0.1个百分点扣0.1分，扣完为止。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61C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14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904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32FD8979">
        <w:tblPrEx>
          <w:shd w:val="clear" w:color="auto" w:fill="auto"/>
          <w:tblCellMar>
            <w:top w:w="0" w:type="dxa"/>
            <w:left w:w="0" w:type="dxa"/>
            <w:bottom w:w="0" w:type="dxa"/>
            <w:right w:w="0" w:type="dxa"/>
          </w:tblCellMar>
        </w:tblPrEx>
        <w:trPr>
          <w:trHeight w:val="33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CCD673">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02012">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5B1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448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45B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支出进度率=（实际支出/支出预算）×100%，用以反映和考核部门（单位）预算执行的及时性和均衡性程度。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A23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半年进度：进度率≥45%，得4分；进度率在40%（含）和45%之间，得2分；进度率＜40%，得0分。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前三季度进度：进度率≥75%，得6分；进度率在60%（含）和75%之间，得4分；进度率＜60%，得0分。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9EA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9DD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1AE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4F85F6E8">
        <w:tblPrEx>
          <w:shd w:val="clear" w:color="auto" w:fill="auto"/>
          <w:tblCellMar>
            <w:top w:w="0" w:type="dxa"/>
            <w:left w:w="0" w:type="dxa"/>
            <w:bottom w:w="0" w:type="dxa"/>
            <w:right w:w="0" w:type="dxa"/>
          </w:tblCellMar>
        </w:tblPrEx>
        <w:trPr>
          <w:trHeight w:val="17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E0630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B8E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预算执行（35分）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82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3DA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1B5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部门预算中除财政拨款外的其他收入预算与决算差异率。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预算编制准确率＝其他收入决算数/其他收入预算数×100%-100%。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A5F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预算编制准确率≤20%，得5分。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预算编制准确率在20%和40%（含）之间，得3分。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预算编制准确率＞40%，得0分。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448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7E4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F46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2961947">
        <w:tblPrEx>
          <w:shd w:val="clear" w:color="auto" w:fill="auto"/>
          <w:tblCellMar>
            <w:top w:w="0" w:type="dxa"/>
            <w:left w:w="0" w:type="dxa"/>
            <w:bottom w:w="0" w:type="dxa"/>
            <w:right w:w="0" w:type="dxa"/>
          </w:tblCellMar>
        </w:tblPrEx>
        <w:trPr>
          <w:trHeight w:val="150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EB73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C7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预算管理（20分）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B6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947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6CC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E70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 ≤100%，得5分，每增加0.1个百分点扣0.5分，扣完为止。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01F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4D6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EE7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70AD287F">
        <w:tblPrEx>
          <w:shd w:val="clear" w:color="auto" w:fill="auto"/>
          <w:tblCellMar>
            <w:top w:w="0" w:type="dxa"/>
            <w:left w:w="0" w:type="dxa"/>
            <w:bottom w:w="0" w:type="dxa"/>
            <w:right w:w="0" w:type="dxa"/>
          </w:tblCellMar>
        </w:tblPrEx>
        <w:trPr>
          <w:trHeight w:val="24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E3D804">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8F234">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047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资产管理规范性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E55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2F3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部门（单位）资产管理是否规范，用以反映和考核部门（单位）资产管理情况。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1.新增资产配置按预算执行。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2.资产有偿使用、处置按规定程序审批。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3.资产收益及时、足额上缴财政。</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E2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全部符合5分，有1项不符扣2分,扣完为止。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EE5B1">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65A6A">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013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6CB20CED">
        <w:tblPrEx>
          <w:shd w:val="clear" w:color="auto" w:fill="auto"/>
          <w:tblCellMar>
            <w:top w:w="0" w:type="dxa"/>
            <w:left w:w="0" w:type="dxa"/>
            <w:bottom w:w="0" w:type="dxa"/>
            <w:right w:w="0" w:type="dxa"/>
          </w:tblCellMar>
        </w:tblPrEx>
        <w:trPr>
          <w:trHeight w:val="39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BACE73">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56CF0">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9A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资金使用合规性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550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7D7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1.符合国家财经法规和财务管理制度规定以及有关专项资金管理办法的规定；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2.资金的拨付有完整的审批程序和手续；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3.重大项目开支经过评估论证；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4.符合部门预算批复的用途；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5.不存在截留、挤占、挪用、虚列支出等情况。</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6BC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全部符合10分,有1项不符扣2分，扣完为止。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EF9E0">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0B0B5">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897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6EE38E92">
        <w:tblPrEx>
          <w:shd w:val="clear" w:color="auto" w:fill="auto"/>
          <w:tblCellMar>
            <w:top w:w="0" w:type="dxa"/>
            <w:left w:w="0" w:type="dxa"/>
            <w:bottom w:w="0" w:type="dxa"/>
            <w:right w:w="0" w:type="dxa"/>
          </w:tblCellMar>
        </w:tblPrEx>
        <w:trPr>
          <w:trHeight w:val="118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BE2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50D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运行效益（45分）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847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行政运行经济性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AC0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442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现行行政运行经费支出预算编制方法的行政运行成本。</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64F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可使行政运行成本最经济为5分，可使行政运行成本较合理为3分，一般为2分，不合理为0分。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2DABE">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AB9E5">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182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01BB188">
        <w:tblPrEx>
          <w:shd w:val="clear" w:color="auto" w:fill="auto"/>
          <w:tblCellMar>
            <w:top w:w="0" w:type="dxa"/>
            <w:left w:w="0" w:type="dxa"/>
            <w:bottom w:w="0" w:type="dxa"/>
            <w:right w:w="0" w:type="dxa"/>
          </w:tblCellMar>
        </w:tblPrEx>
        <w:trPr>
          <w:trHeight w:val="9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2CF96">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33425">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65C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行政运行有效性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566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CC1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行政运行经费支出能否保障部门正常运行。</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22C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正常运行的得5分，基本正常得3分，不能正常运行的不得分。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516A4">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31D7D">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B9C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3749F656">
        <w:tblPrEx>
          <w:shd w:val="clear" w:color="auto" w:fill="auto"/>
          <w:tblCellMar>
            <w:top w:w="0" w:type="dxa"/>
            <w:left w:w="0" w:type="dxa"/>
            <w:bottom w:w="0" w:type="dxa"/>
            <w:right w:w="0" w:type="dxa"/>
          </w:tblCellMar>
        </w:tblPrEx>
        <w:trPr>
          <w:trHeight w:val="7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33DF9">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1A065">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039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专项运行经济效益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466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ED1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项目资金运行产生的经济效益</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396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经济效益显著得10分；一般得5分，下降不得分。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15C32">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3C550">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B85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14:paraId="00B01CDF">
        <w:tblPrEx>
          <w:shd w:val="clear" w:color="auto" w:fill="auto"/>
          <w:tblCellMar>
            <w:top w:w="0" w:type="dxa"/>
            <w:left w:w="0" w:type="dxa"/>
            <w:bottom w:w="0" w:type="dxa"/>
            <w:right w:w="0" w:type="dxa"/>
          </w:tblCellMar>
        </w:tblPrEx>
        <w:trPr>
          <w:trHeight w:val="7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A6066">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51E30">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68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专项运行社会效益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4AD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0E8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项目资金运行产生的社会效益</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974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社会效益显著得10分；一般得5分；否则不得分。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52A80">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D929F">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BF6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14:paraId="69784526">
        <w:tblPrEx>
          <w:shd w:val="clear" w:color="auto" w:fill="auto"/>
          <w:tblCellMar>
            <w:top w:w="0" w:type="dxa"/>
            <w:left w:w="0" w:type="dxa"/>
            <w:bottom w:w="0" w:type="dxa"/>
            <w:right w:w="0" w:type="dxa"/>
          </w:tblCellMar>
        </w:tblPrEx>
        <w:trPr>
          <w:trHeight w:val="20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2B5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果</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991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运行效益（45分）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F5D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专项运行可持续影响</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28A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88D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1.项目完成后有经费安排能满足项目持续运行需要；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2.项目完成后有制度保障项目持续运行需要；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3.项目完成后有明确的项目管理机构、负责人对项目后继管理负责，满足持续运行需要。</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061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全部符合15分,有1项不符扣5分，扣完为止。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E01A5">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03A0D">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489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14:paraId="58B64561">
        <w:tblPrEx>
          <w:shd w:val="clear" w:color="auto" w:fill="auto"/>
          <w:tblCellMar>
            <w:top w:w="0" w:type="dxa"/>
            <w:left w:w="0" w:type="dxa"/>
            <w:bottom w:w="0" w:type="dxa"/>
            <w:right w:w="0" w:type="dxa"/>
          </w:tblCellMar>
        </w:tblPrEx>
        <w:trPr>
          <w:trHeight w:val="500" w:hRule="atLeast"/>
        </w:trPr>
        <w:tc>
          <w:tcPr>
            <w:tcW w:w="74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AE67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评价结论（优、良、中、差）：</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FC67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5E3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r>
    </w:tbl>
    <w:p w14:paraId="4D88E386">
      <w:pPr>
        <w:widowControl/>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（二）部门决算中项目绩效自评结果</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default" w:ascii="Arial" w:hAnsi="Arial" w:eastAsia="宋体" w:cs="Arial"/>
          <w:i w:val="0"/>
          <w:caps w:val="0"/>
          <w:color w:val="000000"/>
          <w:spacing w:val="0"/>
          <w:sz w:val="27"/>
          <w:szCs w:val="27"/>
          <w:shd w:val="clear" w:fill="FFFFFF"/>
        </w:rPr>
        <w:t>1.第七次全国人口普查经费绩效自评</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项目全年预算数为30万元，其中：一般公共预算财政拨款30元。执行数为30万元，完成预算100%。</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主要产出和效益：第七次全国人口普查是在中国特色社会主义进入新时代开展的重大国情国力调查，将全面查清我国人口数量、结构、分布、城乡住房等方面情况，为完善人口发展战略和政策体系，促进人口长期均衡发展，科学制定国民经济和社会发展规划，推动经济高质量发展，开启全面建设社会主义现代化国家新征程，向第二个百年奋斗目标进军，提供科学准确的统计信息支持。普查对象是普查标准时点在中华人民共和国境内的自然人以及在中华人民共和国境外但未定居的中国公民，不包括在中华人民共和国境内短期停留的境外人员。普查主要调查人口和住户的基本情况，内容包括：姓名、公民身份号码、性别、年龄、民族、受教育程度、行业、职业、迁移流动、婚姻生育、死亡、住房情况等。二是完成入户调查率100%；三是检验统计数据公信力为100%；四是为部门单位提供统计数据00%；五是为各单位提供提供人口数量、结构、分布、住房等数据；六是群众满意，无居民举报、上访等事件发生。</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发现的问题及原因：绩效评价指标体系有待进一步完善，项目经费安排与年度工作计划需更加精准。</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下一步改进措施：结合以往年度实际情况，科学测算相关工作经费预算，进一步提高预算编制的准确性。</w:t>
      </w:r>
    </w:p>
    <w:p w14:paraId="79FA6256">
      <w:pPr>
        <w:widowControl/>
        <w:spacing w:before="300"/>
        <w:ind w:firstLine="562" w:firstLineChars="200"/>
        <w:jc w:val="center"/>
        <w:rPr>
          <w:rStyle w:val="8"/>
          <w:rFonts w:hint="eastAsia" w:ascii="宋体" w:hAnsi="宋体" w:cs="宋体" w:eastAsiaTheme="minorEastAsia"/>
          <w:b/>
          <w:bCs/>
          <w:i w:val="0"/>
          <w:caps w:val="0"/>
          <w:color w:val="000000"/>
          <w:spacing w:val="0"/>
          <w:sz w:val="28"/>
          <w:szCs w:val="28"/>
          <w:shd w:val="clear" w:fill="FFFFFF"/>
          <w:lang w:eastAsia="zh-CN"/>
        </w:rPr>
      </w:pPr>
      <w:r>
        <w:rPr>
          <w:rFonts w:hint="eastAsia" w:ascii="Arial"/>
          <w:b/>
          <w:bCs/>
          <w:sz w:val="28"/>
          <w:szCs w:val="28"/>
        </w:rPr>
        <w:t>第七次全国人口普查</w:t>
      </w:r>
      <w:r>
        <w:rPr>
          <w:rFonts w:hint="eastAsia" w:ascii="Arial"/>
          <w:b/>
          <w:bCs/>
          <w:sz w:val="28"/>
          <w:szCs w:val="28"/>
          <w:lang w:eastAsia="zh-CN"/>
        </w:rPr>
        <w:t>项目自评表</w:t>
      </w:r>
    </w:p>
    <w:tbl>
      <w:tblPr>
        <w:tblStyle w:val="12"/>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1119"/>
        <w:gridCol w:w="1329"/>
        <w:gridCol w:w="949"/>
        <w:gridCol w:w="441"/>
        <w:gridCol w:w="1386"/>
        <w:gridCol w:w="689"/>
        <w:gridCol w:w="629"/>
        <w:gridCol w:w="884"/>
      </w:tblGrid>
      <w:tr w14:paraId="0F8B9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2A507980">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8"/>
            <w:noWrap w:val="0"/>
            <w:vAlign w:val="center"/>
          </w:tcPr>
          <w:p w14:paraId="6F20EBC4">
            <w:pPr>
              <w:jc w:val="center"/>
              <w:rPr>
                <w:rFonts w:ascii="Arial"/>
                <w:sz w:val="21"/>
              </w:rPr>
            </w:pPr>
            <w:r>
              <w:rPr>
                <w:rFonts w:hint="eastAsia" w:ascii="Arial"/>
                <w:sz w:val="21"/>
              </w:rPr>
              <w:t>第七次全国人口普查</w:t>
            </w:r>
          </w:p>
        </w:tc>
      </w:tr>
      <w:tr w14:paraId="6434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4D018986">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3"/>
            <w:noWrap w:val="0"/>
            <w:vAlign w:val="center"/>
          </w:tcPr>
          <w:p w14:paraId="4E3DA672">
            <w:pPr>
              <w:jc w:val="center"/>
              <w:rPr>
                <w:rFonts w:ascii="Arial"/>
                <w:sz w:val="21"/>
              </w:rPr>
            </w:pPr>
            <w:r>
              <w:rPr>
                <w:rFonts w:hint="eastAsia" w:ascii="Arial"/>
                <w:sz w:val="21"/>
              </w:rPr>
              <w:t>下陆区统计局</w:t>
            </w:r>
          </w:p>
        </w:tc>
        <w:tc>
          <w:tcPr>
            <w:tcW w:w="2516" w:type="dxa"/>
            <w:gridSpan w:val="3"/>
            <w:noWrap w:val="0"/>
            <w:vAlign w:val="top"/>
          </w:tcPr>
          <w:p w14:paraId="7A76BD77">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60602319">
            <w:pPr>
              <w:rPr>
                <w:rFonts w:ascii="Arial"/>
                <w:sz w:val="21"/>
              </w:rPr>
            </w:pPr>
            <w:r>
              <w:rPr>
                <w:rFonts w:hint="eastAsia" w:ascii="Arial"/>
                <w:sz w:val="21"/>
              </w:rPr>
              <w:t>下陆区统计局</w:t>
            </w:r>
          </w:p>
        </w:tc>
      </w:tr>
      <w:tr w14:paraId="4338A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1B1F8093">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8"/>
            <w:noWrap w:val="0"/>
            <w:vAlign w:val="top"/>
          </w:tcPr>
          <w:p w14:paraId="3AB44465">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1EAF4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014BA738">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8"/>
            <w:noWrap w:val="0"/>
            <w:vAlign w:val="top"/>
          </w:tcPr>
          <w:p w14:paraId="705EA981">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56C4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A1EB31E">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8"/>
            <w:noWrap w:val="0"/>
            <w:vAlign w:val="top"/>
          </w:tcPr>
          <w:p w14:paraId="4EF74CE3">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A3"/>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322DA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1E96B1A7">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3DA797E2">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62CB225F">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noWrap w:val="0"/>
            <w:vAlign w:val="top"/>
          </w:tcPr>
          <w:p w14:paraId="144A209B">
            <w:pPr>
              <w:rPr>
                <w:rFonts w:ascii="Arial"/>
                <w:sz w:val="21"/>
              </w:rPr>
            </w:pPr>
          </w:p>
        </w:tc>
        <w:tc>
          <w:tcPr>
            <w:tcW w:w="1329" w:type="dxa"/>
            <w:noWrap w:val="0"/>
            <w:vAlign w:val="top"/>
          </w:tcPr>
          <w:p w14:paraId="0C54F44A">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90" w:type="dxa"/>
            <w:gridSpan w:val="2"/>
            <w:noWrap w:val="0"/>
            <w:vAlign w:val="top"/>
          </w:tcPr>
          <w:p w14:paraId="507E5A2F">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386" w:type="dxa"/>
            <w:noWrap w:val="0"/>
            <w:vAlign w:val="top"/>
          </w:tcPr>
          <w:p w14:paraId="58570217">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1AD4B266">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78B1D864">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7D4C4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73ACCE25">
            <w:pPr>
              <w:rPr>
                <w:rFonts w:ascii="Arial"/>
                <w:sz w:val="21"/>
              </w:rPr>
            </w:pPr>
          </w:p>
        </w:tc>
        <w:tc>
          <w:tcPr>
            <w:tcW w:w="1119" w:type="dxa"/>
            <w:noWrap w:val="0"/>
            <w:vAlign w:val="top"/>
          </w:tcPr>
          <w:p w14:paraId="1B6377A6">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013E33FD">
            <w:pPr>
              <w:jc w:val="center"/>
              <w:rPr>
                <w:rFonts w:hint="eastAsia" w:ascii="Arial" w:eastAsia="宋体"/>
                <w:sz w:val="21"/>
                <w:lang w:val="en-US" w:eastAsia="zh-CN"/>
              </w:rPr>
            </w:pPr>
            <w:r>
              <w:rPr>
                <w:rFonts w:hint="eastAsia" w:ascii="Arial"/>
                <w:color w:val="auto"/>
                <w:sz w:val="21"/>
                <w:lang w:val="en-US" w:eastAsia="zh-CN"/>
              </w:rPr>
              <w:t>30</w:t>
            </w:r>
          </w:p>
        </w:tc>
        <w:tc>
          <w:tcPr>
            <w:tcW w:w="1390" w:type="dxa"/>
            <w:gridSpan w:val="2"/>
            <w:noWrap w:val="0"/>
            <w:vAlign w:val="center"/>
          </w:tcPr>
          <w:p w14:paraId="1B08E8B8">
            <w:pPr>
              <w:jc w:val="center"/>
              <w:rPr>
                <w:rFonts w:hint="default" w:ascii="Arial" w:eastAsia="宋体"/>
                <w:color w:val="auto"/>
                <w:sz w:val="21"/>
                <w:lang w:val="en-US" w:eastAsia="zh-CN"/>
              </w:rPr>
            </w:pPr>
            <w:r>
              <w:rPr>
                <w:rFonts w:hint="eastAsia" w:ascii="Arial"/>
                <w:color w:val="auto"/>
                <w:sz w:val="21"/>
                <w:lang w:val="en-US" w:eastAsia="zh-CN"/>
              </w:rPr>
              <w:t>30</w:t>
            </w:r>
          </w:p>
        </w:tc>
        <w:tc>
          <w:tcPr>
            <w:tcW w:w="1386" w:type="dxa"/>
            <w:noWrap w:val="0"/>
            <w:vAlign w:val="center"/>
          </w:tcPr>
          <w:p w14:paraId="618B9B63">
            <w:pPr>
              <w:jc w:val="center"/>
              <w:rPr>
                <w:rFonts w:hint="default" w:ascii="Arial" w:eastAsia="宋体"/>
                <w:color w:val="auto"/>
                <w:sz w:val="21"/>
                <w:lang w:val="en-US" w:eastAsia="zh-CN"/>
              </w:rPr>
            </w:pPr>
            <w:r>
              <w:rPr>
                <w:rFonts w:hint="eastAsia" w:ascii="Arial"/>
                <w:color w:val="auto"/>
                <w:sz w:val="21"/>
                <w:lang w:val="en-US" w:eastAsia="zh-CN"/>
              </w:rPr>
              <w:t>100%</w:t>
            </w:r>
          </w:p>
        </w:tc>
        <w:tc>
          <w:tcPr>
            <w:tcW w:w="2202" w:type="dxa"/>
            <w:gridSpan w:val="3"/>
            <w:noWrap w:val="0"/>
            <w:vAlign w:val="center"/>
          </w:tcPr>
          <w:p w14:paraId="03FC9C86">
            <w:pPr>
              <w:jc w:val="center"/>
              <w:rPr>
                <w:rFonts w:hint="default" w:ascii="Arial" w:eastAsia="宋体"/>
                <w:color w:val="auto"/>
                <w:sz w:val="21"/>
                <w:lang w:val="en-US" w:eastAsia="zh-CN"/>
              </w:rPr>
            </w:pPr>
            <w:r>
              <w:rPr>
                <w:rFonts w:hint="eastAsia" w:ascii="Arial"/>
                <w:color w:val="auto"/>
                <w:sz w:val="21"/>
                <w:lang w:val="en-US" w:eastAsia="zh-CN"/>
              </w:rPr>
              <w:t>20</w:t>
            </w:r>
          </w:p>
        </w:tc>
      </w:tr>
      <w:tr w14:paraId="3C3E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noWrap w:val="0"/>
            <w:vAlign w:val="top"/>
          </w:tcPr>
          <w:p w14:paraId="2475C875">
            <w:pPr>
              <w:spacing w:line="269" w:lineRule="auto"/>
              <w:rPr>
                <w:rFonts w:ascii="Arial"/>
                <w:sz w:val="21"/>
              </w:rPr>
            </w:pPr>
          </w:p>
          <w:p w14:paraId="37884D34">
            <w:pPr>
              <w:spacing w:line="269" w:lineRule="auto"/>
              <w:rPr>
                <w:rFonts w:ascii="Arial"/>
                <w:sz w:val="21"/>
              </w:rPr>
            </w:pPr>
          </w:p>
          <w:p w14:paraId="535FCE00">
            <w:pPr>
              <w:spacing w:line="269" w:lineRule="auto"/>
              <w:rPr>
                <w:rFonts w:ascii="Arial"/>
                <w:sz w:val="21"/>
              </w:rPr>
            </w:pPr>
          </w:p>
          <w:p w14:paraId="0C1AF7D4">
            <w:pPr>
              <w:spacing w:line="270" w:lineRule="auto"/>
              <w:rPr>
                <w:rFonts w:ascii="Arial"/>
                <w:sz w:val="21"/>
              </w:rPr>
            </w:pPr>
          </w:p>
          <w:p w14:paraId="4CB19C88">
            <w:pPr>
              <w:spacing w:line="270" w:lineRule="auto"/>
              <w:rPr>
                <w:rFonts w:ascii="Arial"/>
                <w:sz w:val="21"/>
              </w:rPr>
            </w:pPr>
          </w:p>
          <w:p w14:paraId="1191DA4D">
            <w:pPr>
              <w:spacing w:line="270" w:lineRule="auto"/>
              <w:rPr>
                <w:rFonts w:ascii="Arial"/>
                <w:sz w:val="21"/>
              </w:rPr>
            </w:pPr>
          </w:p>
          <w:p w14:paraId="28304D6F">
            <w:pPr>
              <w:spacing w:line="270" w:lineRule="auto"/>
              <w:rPr>
                <w:rFonts w:ascii="Arial"/>
                <w:sz w:val="21"/>
              </w:rPr>
            </w:pPr>
          </w:p>
          <w:p w14:paraId="18C8A5ED">
            <w:pPr>
              <w:jc w:val="center"/>
              <w:rPr>
                <w:b/>
                <w:bCs/>
              </w:rPr>
            </w:pPr>
          </w:p>
          <w:p w14:paraId="7C072ADA">
            <w:pPr>
              <w:jc w:val="center"/>
              <w:rPr>
                <w:b/>
                <w:bCs/>
              </w:rPr>
            </w:pPr>
            <w:r>
              <w:rPr>
                <w:b/>
                <w:bCs/>
              </w:rPr>
              <w:t>年</w:t>
            </w:r>
          </w:p>
          <w:p w14:paraId="448C344E">
            <w:pPr>
              <w:jc w:val="center"/>
              <w:rPr>
                <w:b/>
                <w:bCs/>
              </w:rPr>
            </w:pPr>
            <w:r>
              <w:rPr>
                <w:b/>
                <w:bCs/>
              </w:rPr>
              <w:t>度</w:t>
            </w:r>
          </w:p>
          <w:p w14:paraId="0DB1D866">
            <w:pPr>
              <w:jc w:val="center"/>
              <w:rPr>
                <w:b/>
                <w:bCs/>
              </w:rPr>
            </w:pPr>
            <w:r>
              <w:rPr>
                <w:b/>
                <w:bCs/>
              </w:rPr>
              <w:t>绩</w:t>
            </w:r>
          </w:p>
          <w:p w14:paraId="272D368E">
            <w:pPr>
              <w:jc w:val="center"/>
              <w:rPr>
                <w:b/>
                <w:bCs/>
              </w:rPr>
            </w:pPr>
            <w:r>
              <w:rPr>
                <w:b/>
                <w:bCs/>
              </w:rPr>
              <w:t>效</w:t>
            </w:r>
          </w:p>
          <w:p w14:paraId="3EEA3C51">
            <w:pPr>
              <w:jc w:val="center"/>
              <w:rPr>
                <w:b/>
                <w:bCs/>
              </w:rPr>
            </w:pPr>
            <w:r>
              <w:rPr>
                <w:b/>
                <w:bCs/>
              </w:rPr>
              <w:t>目</w:t>
            </w:r>
          </w:p>
          <w:p w14:paraId="778D4365">
            <w:pPr>
              <w:jc w:val="center"/>
              <w:rPr>
                <w:b/>
                <w:bCs/>
              </w:rPr>
            </w:pPr>
            <w:r>
              <w:rPr>
                <w:b/>
                <w:bCs/>
              </w:rPr>
              <w:t>标</w:t>
            </w:r>
          </w:p>
          <w:p w14:paraId="6415864E">
            <w:pPr>
              <w:jc w:val="center"/>
              <w:rPr>
                <w:b/>
                <w:bCs/>
              </w:rPr>
            </w:pPr>
            <w:r>
              <w:rPr>
                <w:b/>
                <w:bCs/>
              </w:rPr>
              <w:t>1</w:t>
            </w:r>
          </w:p>
          <w:p w14:paraId="2764AD19">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5263B806">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noWrap w:val="0"/>
            <w:vAlign w:val="top"/>
          </w:tcPr>
          <w:p w14:paraId="1F365FE8">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719" w:type="dxa"/>
            <w:gridSpan w:val="3"/>
            <w:noWrap w:val="0"/>
            <w:vAlign w:val="top"/>
          </w:tcPr>
          <w:p w14:paraId="4C531CF5">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386" w:type="dxa"/>
            <w:noWrap w:val="0"/>
            <w:vAlign w:val="top"/>
          </w:tcPr>
          <w:p w14:paraId="4072964C">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7F01CF9E">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718CF5CE">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201B7902">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5C53EFBC">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069A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noWrap w:val="0"/>
            <w:vAlign w:val="top"/>
          </w:tcPr>
          <w:p w14:paraId="2D065E06">
            <w:pPr>
              <w:rPr>
                <w:rFonts w:ascii="Arial"/>
                <w:sz w:val="21"/>
              </w:rPr>
            </w:pPr>
          </w:p>
        </w:tc>
        <w:tc>
          <w:tcPr>
            <w:tcW w:w="689" w:type="dxa"/>
            <w:vMerge w:val="restart"/>
            <w:tcBorders>
              <w:bottom w:val="nil"/>
            </w:tcBorders>
            <w:noWrap w:val="0"/>
            <w:vAlign w:val="center"/>
          </w:tcPr>
          <w:p w14:paraId="3B215E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出</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3922802F">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（40分）</w:t>
            </w:r>
          </w:p>
        </w:tc>
        <w:tc>
          <w:tcPr>
            <w:tcW w:w="1119" w:type="dxa"/>
            <w:vMerge w:val="restart"/>
            <w:noWrap w:val="0"/>
            <w:vAlign w:val="center"/>
          </w:tcPr>
          <w:p w14:paraId="79F2B3AB">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数量指标</w:t>
            </w:r>
          </w:p>
        </w:tc>
        <w:tc>
          <w:tcPr>
            <w:tcW w:w="2719" w:type="dxa"/>
            <w:gridSpan w:val="3"/>
            <w:noWrap w:val="0"/>
            <w:vAlign w:val="center"/>
          </w:tcPr>
          <w:p w14:paraId="1B3B697B">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核对户数</w:t>
            </w:r>
          </w:p>
        </w:tc>
        <w:tc>
          <w:tcPr>
            <w:tcW w:w="1386" w:type="dxa"/>
            <w:noWrap w:val="0"/>
            <w:vAlign w:val="center"/>
          </w:tcPr>
          <w:p w14:paraId="482CA9F7">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11万户</w:t>
            </w:r>
          </w:p>
        </w:tc>
        <w:tc>
          <w:tcPr>
            <w:tcW w:w="1318" w:type="dxa"/>
            <w:gridSpan w:val="2"/>
            <w:noWrap w:val="0"/>
            <w:vAlign w:val="center"/>
          </w:tcPr>
          <w:p w14:paraId="61B692FD">
            <w:pPr>
              <w:keepNext w:val="0"/>
              <w:keepLines w:val="0"/>
              <w:widowControl/>
              <w:suppressLineNumbers w:val="0"/>
              <w:jc w:val="left"/>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11万户</w:t>
            </w:r>
          </w:p>
        </w:tc>
        <w:tc>
          <w:tcPr>
            <w:tcW w:w="884" w:type="dxa"/>
            <w:noWrap w:val="0"/>
            <w:vAlign w:val="center"/>
          </w:tcPr>
          <w:p w14:paraId="1109A85C">
            <w:pPr>
              <w:jc w:val="center"/>
              <w:rPr>
                <w:rFonts w:hint="default" w:ascii="Arial" w:eastAsia="宋体"/>
                <w:sz w:val="21"/>
                <w:lang w:val="en-US" w:eastAsia="zh-CN"/>
              </w:rPr>
            </w:pPr>
            <w:r>
              <w:rPr>
                <w:rFonts w:hint="eastAsia" w:ascii="Arial"/>
                <w:sz w:val="21"/>
                <w:lang w:val="en-US" w:eastAsia="zh-CN"/>
              </w:rPr>
              <w:t>10分</w:t>
            </w:r>
          </w:p>
        </w:tc>
      </w:tr>
      <w:tr w14:paraId="1A46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534F9D86">
            <w:pPr>
              <w:rPr>
                <w:rFonts w:ascii="Arial"/>
                <w:sz w:val="21"/>
              </w:rPr>
            </w:pPr>
          </w:p>
        </w:tc>
        <w:tc>
          <w:tcPr>
            <w:tcW w:w="689" w:type="dxa"/>
            <w:vMerge w:val="continue"/>
            <w:tcBorders>
              <w:top w:val="nil"/>
              <w:bottom w:val="nil"/>
            </w:tcBorders>
            <w:noWrap w:val="0"/>
            <w:vAlign w:val="center"/>
          </w:tcPr>
          <w:p w14:paraId="3F2750BA">
            <w:pPr>
              <w:jc w:val="center"/>
              <w:rPr>
                <w:b/>
                <w:bCs/>
              </w:rPr>
            </w:pPr>
          </w:p>
        </w:tc>
        <w:tc>
          <w:tcPr>
            <w:tcW w:w="1119" w:type="dxa"/>
            <w:vMerge w:val="continue"/>
            <w:noWrap w:val="0"/>
            <w:vAlign w:val="center"/>
          </w:tcPr>
          <w:p w14:paraId="70A175A5">
            <w:pPr>
              <w:jc w:val="center"/>
              <w:rPr>
                <w:rFonts w:ascii="Arial"/>
                <w:sz w:val="21"/>
              </w:rPr>
            </w:pPr>
          </w:p>
        </w:tc>
        <w:tc>
          <w:tcPr>
            <w:tcW w:w="2719" w:type="dxa"/>
            <w:gridSpan w:val="3"/>
            <w:noWrap w:val="0"/>
            <w:vAlign w:val="center"/>
          </w:tcPr>
          <w:p w14:paraId="01C1038F">
            <w:pPr>
              <w:jc w:val="left"/>
              <w:rPr>
                <w:rFonts w:ascii="Arial"/>
                <w:sz w:val="21"/>
              </w:rPr>
            </w:pPr>
          </w:p>
        </w:tc>
        <w:tc>
          <w:tcPr>
            <w:tcW w:w="1386" w:type="dxa"/>
            <w:noWrap w:val="0"/>
            <w:vAlign w:val="center"/>
          </w:tcPr>
          <w:p w14:paraId="4DC8B6CA">
            <w:pPr>
              <w:rPr>
                <w:rFonts w:ascii="Arial"/>
                <w:sz w:val="21"/>
              </w:rPr>
            </w:pPr>
          </w:p>
        </w:tc>
        <w:tc>
          <w:tcPr>
            <w:tcW w:w="1318" w:type="dxa"/>
            <w:gridSpan w:val="2"/>
            <w:noWrap w:val="0"/>
            <w:vAlign w:val="center"/>
          </w:tcPr>
          <w:p w14:paraId="491167B6">
            <w:pPr>
              <w:rPr>
                <w:rFonts w:ascii="Arial"/>
                <w:kern w:val="2"/>
                <w:sz w:val="21"/>
                <w:lang w:val="en-US" w:eastAsia="zh-CN" w:bidi="ar-SA"/>
              </w:rPr>
            </w:pPr>
          </w:p>
        </w:tc>
        <w:tc>
          <w:tcPr>
            <w:tcW w:w="884" w:type="dxa"/>
            <w:noWrap w:val="0"/>
            <w:vAlign w:val="center"/>
          </w:tcPr>
          <w:p w14:paraId="31C3BCAA">
            <w:pPr>
              <w:jc w:val="center"/>
              <w:rPr>
                <w:rFonts w:ascii="Arial"/>
                <w:sz w:val="21"/>
              </w:rPr>
            </w:pPr>
          </w:p>
        </w:tc>
      </w:tr>
      <w:tr w14:paraId="2395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1864207A">
            <w:pPr>
              <w:rPr>
                <w:rFonts w:ascii="Arial"/>
                <w:sz w:val="21"/>
              </w:rPr>
            </w:pPr>
          </w:p>
        </w:tc>
        <w:tc>
          <w:tcPr>
            <w:tcW w:w="689" w:type="dxa"/>
            <w:vMerge w:val="continue"/>
            <w:tcBorders>
              <w:top w:val="nil"/>
              <w:bottom w:val="nil"/>
            </w:tcBorders>
            <w:noWrap w:val="0"/>
            <w:vAlign w:val="center"/>
          </w:tcPr>
          <w:p w14:paraId="305B1BFA">
            <w:pPr>
              <w:jc w:val="center"/>
              <w:rPr>
                <w:b/>
                <w:bCs/>
              </w:rPr>
            </w:pPr>
          </w:p>
        </w:tc>
        <w:tc>
          <w:tcPr>
            <w:tcW w:w="1119" w:type="dxa"/>
            <w:vMerge w:val="continue"/>
            <w:noWrap w:val="0"/>
            <w:vAlign w:val="center"/>
          </w:tcPr>
          <w:p w14:paraId="5FF93D95">
            <w:pPr>
              <w:jc w:val="center"/>
              <w:rPr>
                <w:rFonts w:ascii="宋体" w:hAnsi="宋体" w:eastAsia="宋体" w:cs="宋体"/>
                <w:sz w:val="22"/>
                <w:szCs w:val="22"/>
              </w:rPr>
            </w:pPr>
          </w:p>
        </w:tc>
        <w:tc>
          <w:tcPr>
            <w:tcW w:w="2719" w:type="dxa"/>
            <w:gridSpan w:val="3"/>
            <w:noWrap w:val="0"/>
            <w:vAlign w:val="center"/>
          </w:tcPr>
          <w:p w14:paraId="746EF3D2">
            <w:pPr>
              <w:jc w:val="left"/>
              <w:rPr>
                <w:rFonts w:ascii="Arial"/>
                <w:sz w:val="21"/>
              </w:rPr>
            </w:pPr>
          </w:p>
        </w:tc>
        <w:tc>
          <w:tcPr>
            <w:tcW w:w="1386" w:type="dxa"/>
            <w:noWrap w:val="0"/>
            <w:vAlign w:val="center"/>
          </w:tcPr>
          <w:p w14:paraId="3D4B7E1A">
            <w:pPr>
              <w:rPr>
                <w:rFonts w:ascii="Arial"/>
                <w:sz w:val="21"/>
              </w:rPr>
            </w:pPr>
          </w:p>
        </w:tc>
        <w:tc>
          <w:tcPr>
            <w:tcW w:w="1318" w:type="dxa"/>
            <w:gridSpan w:val="2"/>
            <w:noWrap w:val="0"/>
            <w:vAlign w:val="center"/>
          </w:tcPr>
          <w:p w14:paraId="67F29A6C">
            <w:pPr>
              <w:rPr>
                <w:rFonts w:ascii="Arial"/>
                <w:kern w:val="2"/>
                <w:sz w:val="21"/>
                <w:lang w:val="en-US" w:eastAsia="zh-CN" w:bidi="ar-SA"/>
              </w:rPr>
            </w:pPr>
          </w:p>
        </w:tc>
        <w:tc>
          <w:tcPr>
            <w:tcW w:w="884" w:type="dxa"/>
            <w:noWrap w:val="0"/>
            <w:vAlign w:val="center"/>
          </w:tcPr>
          <w:p w14:paraId="600D618D">
            <w:pPr>
              <w:jc w:val="center"/>
              <w:rPr>
                <w:rFonts w:ascii="Arial"/>
                <w:sz w:val="21"/>
              </w:rPr>
            </w:pPr>
          </w:p>
        </w:tc>
      </w:tr>
      <w:tr w14:paraId="5C8C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589A419A">
            <w:pPr>
              <w:rPr>
                <w:rFonts w:ascii="Arial"/>
                <w:sz w:val="21"/>
              </w:rPr>
            </w:pPr>
          </w:p>
        </w:tc>
        <w:tc>
          <w:tcPr>
            <w:tcW w:w="689" w:type="dxa"/>
            <w:vMerge w:val="continue"/>
            <w:tcBorders>
              <w:top w:val="nil"/>
            </w:tcBorders>
            <w:noWrap w:val="0"/>
            <w:vAlign w:val="center"/>
          </w:tcPr>
          <w:p w14:paraId="0AE5F0CC">
            <w:pPr>
              <w:jc w:val="center"/>
              <w:rPr>
                <w:b/>
                <w:bCs/>
              </w:rPr>
            </w:pPr>
          </w:p>
        </w:tc>
        <w:tc>
          <w:tcPr>
            <w:tcW w:w="1119" w:type="dxa"/>
            <w:vMerge w:val="restart"/>
            <w:noWrap w:val="0"/>
            <w:vAlign w:val="center"/>
          </w:tcPr>
          <w:p w14:paraId="4B535DF0">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质量指标</w:t>
            </w:r>
          </w:p>
        </w:tc>
        <w:tc>
          <w:tcPr>
            <w:tcW w:w="2719" w:type="dxa"/>
            <w:gridSpan w:val="3"/>
            <w:noWrap w:val="0"/>
            <w:vAlign w:val="center"/>
          </w:tcPr>
          <w:p w14:paraId="0A3C50BF">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普查准确率</w:t>
            </w:r>
          </w:p>
        </w:tc>
        <w:tc>
          <w:tcPr>
            <w:tcW w:w="1386" w:type="dxa"/>
            <w:noWrap w:val="0"/>
            <w:vAlign w:val="center"/>
          </w:tcPr>
          <w:p w14:paraId="5EDE6C45">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4"/>
                <w:szCs w:val="24"/>
                <w:u w:val="none"/>
                <w:lang w:val="en-US" w:eastAsia="zh-CN" w:bidi="ar"/>
              </w:rPr>
              <w:t>95%以上</w:t>
            </w:r>
          </w:p>
        </w:tc>
        <w:tc>
          <w:tcPr>
            <w:tcW w:w="1318" w:type="dxa"/>
            <w:gridSpan w:val="2"/>
            <w:noWrap w:val="0"/>
            <w:vAlign w:val="center"/>
          </w:tcPr>
          <w:p w14:paraId="66E0F6F7">
            <w:pPr>
              <w:keepNext w:val="0"/>
              <w:keepLines w:val="0"/>
              <w:widowControl/>
              <w:suppressLineNumbers w:val="0"/>
              <w:jc w:val="left"/>
              <w:textAlignment w:val="center"/>
              <w:rPr>
                <w:rFonts w:ascii="Arial"/>
                <w:kern w:val="2"/>
                <w:sz w:val="21"/>
                <w:lang w:val="en-US" w:eastAsia="zh-CN" w:bidi="ar-SA"/>
              </w:rPr>
            </w:pPr>
            <w:r>
              <w:rPr>
                <w:rFonts w:hint="eastAsia" w:ascii="仿宋" w:hAnsi="仿宋" w:eastAsia="仿宋" w:cs="仿宋"/>
                <w:i w:val="0"/>
                <w:iCs w:val="0"/>
                <w:color w:val="000000"/>
                <w:kern w:val="0"/>
                <w:sz w:val="24"/>
                <w:szCs w:val="24"/>
                <w:u w:val="none"/>
                <w:lang w:val="en-US" w:eastAsia="zh-CN" w:bidi="ar"/>
              </w:rPr>
              <w:t>95%以上</w:t>
            </w:r>
          </w:p>
        </w:tc>
        <w:tc>
          <w:tcPr>
            <w:tcW w:w="884" w:type="dxa"/>
            <w:noWrap w:val="0"/>
            <w:vAlign w:val="center"/>
          </w:tcPr>
          <w:p w14:paraId="077E691B">
            <w:pPr>
              <w:jc w:val="center"/>
              <w:rPr>
                <w:rFonts w:ascii="Arial"/>
                <w:sz w:val="21"/>
              </w:rPr>
            </w:pPr>
            <w:r>
              <w:rPr>
                <w:rFonts w:hint="eastAsia" w:ascii="Arial"/>
                <w:sz w:val="21"/>
                <w:lang w:val="en-US" w:eastAsia="zh-CN"/>
              </w:rPr>
              <w:t>10分</w:t>
            </w:r>
          </w:p>
        </w:tc>
      </w:tr>
      <w:tr w14:paraId="5447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noWrap w:val="0"/>
            <w:vAlign w:val="top"/>
          </w:tcPr>
          <w:p w14:paraId="00DA9790">
            <w:pPr>
              <w:rPr>
                <w:rFonts w:ascii="Arial"/>
                <w:sz w:val="21"/>
              </w:rPr>
            </w:pPr>
          </w:p>
        </w:tc>
        <w:tc>
          <w:tcPr>
            <w:tcW w:w="689" w:type="dxa"/>
            <w:vMerge w:val="continue"/>
            <w:tcBorders>
              <w:bottom w:val="nil"/>
            </w:tcBorders>
            <w:noWrap w:val="0"/>
            <w:vAlign w:val="center"/>
          </w:tcPr>
          <w:p w14:paraId="25CF8B2E">
            <w:pPr>
              <w:jc w:val="center"/>
              <w:rPr>
                <w:rFonts w:ascii="Calibri" w:hAnsi="Calibri" w:eastAsia="宋体" w:cs="Times New Roman"/>
                <w:b/>
                <w:bCs/>
              </w:rPr>
            </w:pPr>
          </w:p>
        </w:tc>
        <w:tc>
          <w:tcPr>
            <w:tcW w:w="1119" w:type="dxa"/>
            <w:vMerge w:val="continue"/>
            <w:noWrap w:val="0"/>
            <w:vAlign w:val="center"/>
          </w:tcPr>
          <w:p w14:paraId="560B1CC6">
            <w:pPr>
              <w:jc w:val="center"/>
              <w:rPr>
                <w:rFonts w:ascii="宋体" w:hAnsi="宋体" w:eastAsia="宋体" w:cs="宋体"/>
                <w:sz w:val="11"/>
                <w:szCs w:val="11"/>
              </w:rPr>
            </w:pPr>
          </w:p>
        </w:tc>
        <w:tc>
          <w:tcPr>
            <w:tcW w:w="2719" w:type="dxa"/>
            <w:gridSpan w:val="3"/>
            <w:noWrap w:val="0"/>
            <w:vAlign w:val="center"/>
          </w:tcPr>
          <w:p w14:paraId="10B9F6BC">
            <w:pPr>
              <w:jc w:val="left"/>
              <w:rPr>
                <w:rFonts w:ascii="Arial"/>
                <w:sz w:val="21"/>
              </w:rPr>
            </w:pPr>
          </w:p>
        </w:tc>
        <w:tc>
          <w:tcPr>
            <w:tcW w:w="1386" w:type="dxa"/>
            <w:noWrap w:val="0"/>
            <w:vAlign w:val="center"/>
          </w:tcPr>
          <w:p w14:paraId="4DC0B65C">
            <w:pPr>
              <w:jc w:val="left"/>
              <w:rPr>
                <w:rFonts w:ascii="Arial"/>
                <w:sz w:val="21"/>
              </w:rPr>
            </w:pPr>
          </w:p>
        </w:tc>
        <w:tc>
          <w:tcPr>
            <w:tcW w:w="1318" w:type="dxa"/>
            <w:gridSpan w:val="2"/>
            <w:noWrap w:val="0"/>
            <w:vAlign w:val="center"/>
          </w:tcPr>
          <w:p w14:paraId="0E6EF0C8">
            <w:pPr>
              <w:jc w:val="left"/>
              <w:rPr>
                <w:rFonts w:ascii="Arial"/>
                <w:kern w:val="2"/>
                <w:sz w:val="21"/>
                <w:lang w:val="en-US" w:eastAsia="zh-CN" w:bidi="ar-SA"/>
              </w:rPr>
            </w:pPr>
          </w:p>
        </w:tc>
        <w:tc>
          <w:tcPr>
            <w:tcW w:w="884" w:type="dxa"/>
            <w:noWrap w:val="0"/>
            <w:vAlign w:val="center"/>
          </w:tcPr>
          <w:p w14:paraId="0E9ED6AC">
            <w:pPr>
              <w:jc w:val="center"/>
              <w:rPr>
                <w:rFonts w:ascii="Arial"/>
                <w:sz w:val="21"/>
              </w:rPr>
            </w:pPr>
          </w:p>
        </w:tc>
      </w:tr>
      <w:tr w14:paraId="26C9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2D7DF038">
            <w:pPr>
              <w:rPr>
                <w:rFonts w:ascii="Arial"/>
                <w:sz w:val="21"/>
              </w:rPr>
            </w:pPr>
          </w:p>
        </w:tc>
        <w:tc>
          <w:tcPr>
            <w:tcW w:w="689" w:type="dxa"/>
            <w:vMerge w:val="continue"/>
            <w:tcBorders>
              <w:top w:val="nil"/>
              <w:bottom w:val="nil"/>
            </w:tcBorders>
            <w:noWrap w:val="0"/>
            <w:vAlign w:val="center"/>
          </w:tcPr>
          <w:p w14:paraId="6F3F9BE0">
            <w:pPr>
              <w:jc w:val="center"/>
              <w:rPr>
                <w:rFonts w:ascii="Calibri" w:hAnsi="Calibri" w:eastAsia="宋体" w:cs="Times New Roman"/>
                <w:b/>
                <w:bCs/>
              </w:rPr>
            </w:pPr>
          </w:p>
        </w:tc>
        <w:tc>
          <w:tcPr>
            <w:tcW w:w="1119" w:type="dxa"/>
            <w:vMerge w:val="continue"/>
            <w:noWrap w:val="0"/>
            <w:vAlign w:val="center"/>
          </w:tcPr>
          <w:p w14:paraId="2E4C996E">
            <w:pPr>
              <w:jc w:val="center"/>
              <w:rPr>
                <w:rFonts w:ascii="宋体" w:hAnsi="宋体" w:eastAsia="宋体" w:cs="宋体"/>
                <w:sz w:val="22"/>
                <w:szCs w:val="22"/>
              </w:rPr>
            </w:pPr>
          </w:p>
        </w:tc>
        <w:tc>
          <w:tcPr>
            <w:tcW w:w="2719" w:type="dxa"/>
            <w:gridSpan w:val="3"/>
            <w:noWrap w:val="0"/>
            <w:vAlign w:val="center"/>
          </w:tcPr>
          <w:p w14:paraId="38DA507E">
            <w:pPr>
              <w:jc w:val="left"/>
              <w:rPr>
                <w:rFonts w:ascii="Arial"/>
                <w:sz w:val="21"/>
              </w:rPr>
            </w:pPr>
          </w:p>
        </w:tc>
        <w:tc>
          <w:tcPr>
            <w:tcW w:w="1386" w:type="dxa"/>
            <w:noWrap w:val="0"/>
            <w:vAlign w:val="center"/>
          </w:tcPr>
          <w:p w14:paraId="25E3EB3E">
            <w:pPr>
              <w:rPr>
                <w:rFonts w:ascii="Arial"/>
                <w:sz w:val="21"/>
              </w:rPr>
            </w:pPr>
          </w:p>
        </w:tc>
        <w:tc>
          <w:tcPr>
            <w:tcW w:w="1318" w:type="dxa"/>
            <w:gridSpan w:val="2"/>
            <w:noWrap w:val="0"/>
            <w:vAlign w:val="center"/>
          </w:tcPr>
          <w:p w14:paraId="1450E535">
            <w:pPr>
              <w:rPr>
                <w:rFonts w:ascii="Arial"/>
                <w:kern w:val="2"/>
                <w:sz w:val="21"/>
                <w:lang w:val="en-US" w:eastAsia="zh-CN" w:bidi="ar-SA"/>
              </w:rPr>
            </w:pPr>
          </w:p>
        </w:tc>
        <w:tc>
          <w:tcPr>
            <w:tcW w:w="884" w:type="dxa"/>
            <w:noWrap w:val="0"/>
            <w:vAlign w:val="center"/>
          </w:tcPr>
          <w:p w14:paraId="42516510">
            <w:pPr>
              <w:jc w:val="center"/>
              <w:rPr>
                <w:rFonts w:ascii="Arial"/>
                <w:sz w:val="21"/>
              </w:rPr>
            </w:pPr>
          </w:p>
        </w:tc>
      </w:tr>
      <w:tr w14:paraId="0E267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521BC44F">
            <w:pPr>
              <w:rPr>
                <w:rFonts w:ascii="Arial"/>
                <w:sz w:val="21"/>
              </w:rPr>
            </w:pPr>
          </w:p>
        </w:tc>
        <w:tc>
          <w:tcPr>
            <w:tcW w:w="689" w:type="dxa"/>
            <w:vMerge w:val="continue"/>
            <w:tcBorders>
              <w:top w:val="nil"/>
              <w:bottom w:val="nil"/>
            </w:tcBorders>
            <w:noWrap w:val="0"/>
            <w:vAlign w:val="center"/>
          </w:tcPr>
          <w:p w14:paraId="6E09177C">
            <w:pPr>
              <w:jc w:val="center"/>
              <w:rPr>
                <w:rFonts w:ascii="Calibri" w:hAnsi="Calibri" w:eastAsia="宋体" w:cs="Times New Roman"/>
                <w:b/>
                <w:bCs/>
              </w:rPr>
            </w:pPr>
          </w:p>
        </w:tc>
        <w:tc>
          <w:tcPr>
            <w:tcW w:w="1119" w:type="dxa"/>
            <w:vMerge w:val="restart"/>
            <w:noWrap w:val="0"/>
            <w:vAlign w:val="center"/>
          </w:tcPr>
          <w:p w14:paraId="324A5B4E">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时效指标</w:t>
            </w:r>
          </w:p>
        </w:tc>
        <w:tc>
          <w:tcPr>
            <w:tcW w:w="2719" w:type="dxa"/>
            <w:gridSpan w:val="3"/>
            <w:noWrap w:val="0"/>
            <w:vAlign w:val="center"/>
          </w:tcPr>
          <w:p w14:paraId="02E4AAC7">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普查覆盖率</w:t>
            </w:r>
          </w:p>
        </w:tc>
        <w:tc>
          <w:tcPr>
            <w:tcW w:w="1386" w:type="dxa"/>
            <w:noWrap w:val="0"/>
            <w:vAlign w:val="center"/>
          </w:tcPr>
          <w:p w14:paraId="32183EAA">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40B0BBB4">
            <w:pPr>
              <w:keepNext w:val="0"/>
              <w:keepLines w:val="0"/>
              <w:widowControl/>
              <w:suppressLineNumbers w:val="0"/>
              <w:jc w:val="left"/>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5732689B">
            <w:pPr>
              <w:jc w:val="center"/>
              <w:rPr>
                <w:rFonts w:ascii="Arial"/>
                <w:sz w:val="21"/>
              </w:rPr>
            </w:pPr>
            <w:r>
              <w:rPr>
                <w:rFonts w:hint="eastAsia" w:ascii="Arial"/>
                <w:sz w:val="21"/>
                <w:lang w:val="en-US" w:eastAsia="zh-CN"/>
              </w:rPr>
              <w:t>10分</w:t>
            </w:r>
          </w:p>
        </w:tc>
      </w:tr>
      <w:tr w14:paraId="39628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6D18E7E6">
            <w:pPr>
              <w:rPr>
                <w:rFonts w:ascii="Arial"/>
                <w:sz w:val="21"/>
              </w:rPr>
            </w:pPr>
          </w:p>
        </w:tc>
        <w:tc>
          <w:tcPr>
            <w:tcW w:w="689" w:type="dxa"/>
            <w:vMerge w:val="continue"/>
            <w:tcBorders>
              <w:top w:val="nil"/>
            </w:tcBorders>
            <w:noWrap w:val="0"/>
            <w:vAlign w:val="center"/>
          </w:tcPr>
          <w:p w14:paraId="4C3BB01C">
            <w:pPr>
              <w:jc w:val="center"/>
              <w:rPr>
                <w:rFonts w:ascii="Calibri" w:hAnsi="Calibri" w:eastAsia="宋体" w:cs="Times New Roman"/>
                <w:b/>
                <w:bCs/>
              </w:rPr>
            </w:pPr>
          </w:p>
        </w:tc>
        <w:tc>
          <w:tcPr>
            <w:tcW w:w="1119" w:type="dxa"/>
            <w:vMerge w:val="continue"/>
            <w:noWrap w:val="0"/>
            <w:vAlign w:val="center"/>
          </w:tcPr>
          <w:p w14:paraId="16D114E6">
            <w:pPr>
              <w:jc w:val="center"/>
              <w:rPr>
                <w:rFonts w:ascii="Arial"/>
                <w:sz w:val="21"/>
              </w:rPr>
            </w:pPr>
          </w:p>
        </w:tc>
        <w:tc>
          <w:tcPr>
            <w:tcW w:w="2719" w:type="dxa"/>
            <w:gridSpan w:val="3"/>
            <w:noWrap w:val="0"/>
            <w:vAlign w:val="center"/>
          </w:tcPr>
          <w:p w14:paraId="740D5976">
            <w:pPr>
              <w:jc w:val="left"/>
              <w:rPr>
                <w:rFonts w:ascii="Arial"/>
                <w:sz w:val="21"/>
              </w:rPr>
            </w:pPr>
          </w:p>
        </w:tc>
        <w:tc>
          <w:tcPr>
            <w:tcW w:w="1386" w:type="dxa"/>
            <w:noWrap w:val="0"/>
            <w:vAlign w:val="center"/>
          </w:tcPr>
          <w:p w14:paraId="17DEDFDA">
            <w:pPr>
              <w:jc w:val="left"/>
              <w:rPr>
                <w:rFonts w:ascii="Arial"/>
                <w:sz w:val="21"/>
              </w:rPr>
            </w:pPr>
          </w:p>
        </w:tc>
        <w:tc>
          <w:tcPr>
            <w:tcW w:w="1318" w:type="dxa"/>
            <w:gridSpan w:val="2"/>
            <w:noWrap w:val="0"/>
            <w:vAlign w:val="center"/>
          </w:tcPr>
          <w:p w14:paraId="319ED406">
            <w:pPr>
              <w:jc w:val="left"/>
              <w:rPr>
                <w:rFonts w:ascii="Arial"/>
                <w:kern w:val="2"/>
                <w:sz w:val="21"/>
                <w:lang w:val="en-US" w:eastAsia="zh-CN" w:bidi="ar-SA"/>
              </w:rPr>
            </w:pPr>
          </w:p>
        </w:tc>
        <w:tc>
          <w:tcPr>
            <w:tcW w:w="884" w:type="dxa"/>
            <w:noWrap w:val="0"/>
            <w:vAlign w:val="center"/>
          </w:tcPr>
          <w:p w14:paraId="589C1611">
            <w:pPr>
              <w:jc w:val="center"/>
              <w:rPr>
                <w:rFonts w:ascii="Arial"/>
                <w:sz w:val="21"/>
              </w:rPr>
            </w:pPr>
          </w:p>
        </w:tc>
      </w:tr>
      <w:tr w14:paraId="5DBCC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2BFC913A">
            <w:pPr>
              <w:rPr>
                <w:rFonts w:ascii="Arial"/>
                <w:sz w:val="21"/>
              </w:rPr>
            </w:pPr>
          </w:p>
        </w:tc>
        <w:tc>
          <w:tcPr>
            <w:tcW w:w="689" w:type="dxa"/>
            <w:vMerge w:val="continue"/>
            <w:tcBorders>
              <w:bottom w:val="nil"/>
            </w:tcBorders>
            <w:noWrap w:val="0"/>
            <w:vAlign w:val="center"/>
          </w:tcPr>
          <w:p w14:paraId="0B04A99E">
            <w:pPr>
              <w:jc w:val="center"/>
              <w:rPr>
                <w:rFonts w:ascii="Calibri" w:hAnsi="Calibri" w:eastAsia="宋体" w:cs="Times New Roman"/>
                <w:b/>
                <w:bCs/>
              </w:rPr>
            </w:pPr>
          </w:p>
        </w:tc>
        <w:tc>
          <w:tcPr>
            <w:tcW w:w="1119" w:type="dxa"/>
            <w:vMerge w:val="continue"/>
            <w:noWrap w:val="0"/>
            <w:vAlign w:val="center"/>
          </w:tcPr>
          <w:p w14:paraId="0DCF09B0">
            <w:pPr>
              <w:jc w:val="center"/>
              <w:rPr>
                <w:rFonts w:ascii="宋体" w:hAnsi="宋体" w:eastAsia="宋体" w:cs="宋体"/>
                <w:sz w:val="11"/>
                <w:szCs w:val="11"/>
              </w:rPr>
            </w:pPr>
          </w:p>
        </w:tc>
        <w:tc>
          <w:tcPr>
            <w:tcW w:w="2719" w:type="dxa"/>
            <w:gridSpan w:val="3"/>
            <w:noWrap w:val="0"/>
            <w:vAlign w:val="center"/>
          </w:tcPr>
          <w:p w14:paraId="4E8D068C">
            <w:pPr>
              <w:jc w:val="left"/>
              <w:rPr>
                <w:rFonts w:ascii="Arial"/>
                <w:sz w:val="21"/>
              </w:rPr>
            </w:pPr>
          </w:p>
        </w:tc>
        <w:tc>
          <w:tcPr>
            <w:tcW w:w="1386" w:type="dxa"/>
            <w:noWrap w:val="0"/>
            <w:vAlign w:val="center"/>
          </w:tcPr>
          <w:p w14:paraId="2A86496A">
            <w:pPr>
              <w:jc w:val="left"/>
              <w:rPr>
                <w:rFonts w:ascii="Arial"/>
                <w:sz w:val="21"/>
              </w:rPr>
            </w:pPr>
          </w:p>
        </w:tc>
        <w:tc>
          <w:tcPr>
            <w:tcW w:w="1318" w:type="dxa"/>
            <w:gridSpan w:val="2"/>
            <w:noWrap w:val="0"/>
            <w:vAlign w:val="center"/>
          </w:tcPr>
          <w:p w14:paraId="11A57616">
            <w:pPr>
              <w:jc w:val="left"/>
              <w:rPr>
                <w:rFonts w:ascii="Arial"/>
                <w:kern w:val="2"/>
                <w:sz w:val="21"/>
                <w:lang w:val="en-US" w:eastAsia="zh-CN" w:bidi="ar-SA"/>
              </w:rPr>
            </w:pPr>
          </w:p>
        </w:tc>
        <w:tc>
          <w:tcPr>
            <w:tcW w:w="884" w:type="dxa"/>
            <w:noWrap w:val="0"/>
            <w:vAlign w:val="center"/>
          </w:tcPr>
          <w:p w14:paraId="0FDC4A53">
            <w:pPr>
              <w:jc w:val="center"/>
              <w:rPr>
                <w:rFonts w:ascii="Arial"/>
                <w:sz w:val="21"/>
              </w:rPr>
            </w:pPr>
          </w:p>
        </w:tc>
      </w:tr>
      <w:tr w14:paraId="7A24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41C7C780">
            <w:pPr>
              <w:rPr>
                <w:rFonts w:ascii="Arial"/>
                <w:sz w:val="21"/>
              </w:rPr>
            </w:pPr>
          </w:p>
        </w:tc>
        <w:tc>
          <w:tcPr>
            <w:tcW w:w="689" w:type="dxa"/>
            <w:vMerge w:val="continue"/>
            <w:tcBorders>
              <w:top w:val="nil"/>
            </w:tcBorders>
            <w:noWrap w:val="0"/>
            <w:vAlign w:val="center"/>
          </w:tcPr>
          <w:p w14:paraId="71AA0325">
            <w:pPr>
              <w:jc w:val="center"/>
              <w:rPr>
                <w:rFonts w:ascii="Arial"/>
                <w:b/>
                <w:bCs/>
                <w:sz w:val="21"/>
              </w:rPr>
            </w:pPr>
          </w:p>
        </w:tc>
        <w:tc>
          <w:tcPr>
            <w:tcW w:w="1119" w:type="dxa"/>
            <w:vMerge w:val="restart"/>
            <w:noWrap w:val="0"/>
            <w:vAlign w:val="center"/>
          </w:tcPr>
          <w:p w14:paraId="3F5E6EAA">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成本指标</w:t>
            </w:r>
          </w:p>
        </w:tc>
        <w:tc>
          <w:tcPr>
            <w:tcW w:w="2719" w:type="dxa"/>
            <w:gridSpan w:val="3"/>
            <w:noWrap w:val="0"/>
            <w:vAlign w:val="center"/>
          </w:tcPr>
          <w:p w14:paraId="109D7DA1">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控制在30万元以内</w:t>
            </w:r>
          </w:p>
        </w:tc>
        <w:tc>
          <w:tcPr>
            <w:tcW w:w="1386" w:type="dxa"/>
            <w:noWrap w:val="0"/>
            <w:vAlign w:val="center"/>
          </w:tcPr>
          <w:p w14:paraId="2CD48969">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30万元</w:t>
            </w:r>
          </w:p>
        </w:tc>
        <w:tc>
          <w:tcPr>
            <w:tcW w:w="1318" w:type="dxa"/>
            <w:gridSpan w:val="2"/>
            <w:noWrap w:val="0"/>
            <w:vAlign w:val="center"/>
          </w:tcPr>
          <w:p w14:paraId="2284DB53">
            <w:pPr>
              <w:keepNext w:val="0"/>
              <w:keepLines w:val="0"/>
              <w:widowControl/>
              <w:suppressLineNumbers w:val="0"/>
              <w:jc w:val="left"/>
              <w:textAlignment w:val="center"/>
              <w:rPr>
                <w:rFonts w:ascii="Arial"/>
                <w:color w:val="auto"/>
                <w:kern w:val="2"/>
                <w:sz w:val="21"/>
                <w:lang w:val="en-US" w:eastAsia="zh-CN" w:bidi="ar-SA"/>
              </w:rPr>
            </w:pPr>
            <w:r>
              <w:rPr>
                <w:rFonts w:hint="eastAsia" w:ascii="仿宋" w:hAnsi="仿宋" w:eastAsia="仿宋" w:cs="仿宋"/>
                <w:i w:val="0"/>
                <w:iCs w:val="0"/>
                <w:color w:val="auto"/>
                <w:kern w:val="0"/>
                <w:sz w:val="22"/>
                <w:szCs w:val="22"/>
                <w:u w:val="none"/>
                <w:lang w:val="en-US" w:eastAsia="zh-CN" w:bidi="ar"/>
              </w:rPr>
              <w:t>30万元</w:t>
            </w:r>
          </w:p>
        </w:tc>
        <w:tc>
          <w:tcPr>
            <w:tcW w:w="884" w:type="dxa"/>
            <w:noWrap w:val="0"/>
            <w:vAlign w:val="center"/>
          </w:tcPr>
          <w:p w14:paraId="116C945B">
            <w:pPr>
              <w:jc w:val="center"/>
              <w:rPr>
                <w:rFonts w:ascii="Arial"/>
                <w:color w:val="auto"/>
                <w:sz w:val="21"/>
              </w:rPr>
            </w:pPr>
            <w:r>
              <w:rPr>
                <w:rFonts w:hint="eastAsia" w:ascii="Arial"/>
                <w:color w:val="auto"/>
                <w:sz w:val="21"/>
                <w:lang w:val="en-US" w:eastAsia="zh-CN"/>
              </w:rPr>
              <w:t>10分</w:t>
            </w:r>
          </w:p>
        </w:tc>
      </w:tr>
      <w:tr w14:paraId="00FD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14" w:type="dxa"/>
            <w:vMerge w:val="continue"/>
            <w:noWrap w:val="0"/>
            <w:vAlign w:val="top"/>
          </w:tcPr>
          <w:p w14:paraId="360DFDE5">
            <w:pPr>
              <w:spacing w:before="58" w:line="223" w:lineRule="auto"/>
              <w:ind w:right="115"/>
              <w:jc w:val="center"/>
              <w:rPr>
                <w:rFonts w:ascii="宋体" w:hAnsi="宋体" w:eastAsia="宋体" w:cs="宋体"/>
                <w:sz w:val="21"/>
                <w:szCs w:val="21"/>
              </w:rPr>
            </w:pPr>
          </w:p>
        </w:tc>
        <w:tc>
          <w:tcPr>
            <w:tcW w:w="689" w:type="dxa"/>
            <w:vMerge w:val="continue"/>
            <w:noWrap w:val="0"/>
            <w:vAlign w:val="center"/>
          </w:tcPr>
          <w:p w14:paraId="058E1438">
            <w:pPr>
              <w:jc w:val="center"/>
              <w:rPr>
                <w:rFonts w:ascii="Arial"/>
                <w:b/>
                <w:bCs/>
                <w:sz w:val="21"/>
              </w:rPr>
            </w:pPr>
          </w:p>
        </w:tc>
        <w:tc>
          <w:tcPr>
            <w:tcW w:w="1119" w:type="dxa"/>
            <w:vMerge w:val="continue"/>
            <w:noWrap w:val="0"/>
            <w:vAlign w:val="center"/>
          </w:tcPr>
          <w:p w14:paraId="7C40BCA4">
            <w:pPr>
              <w:jc w:val="center"/>
              <w:rPr>
                <w:rFonts w:ascii="Arial"/>
                <w:sz w:val="21"/>
              </w:rPr>
            </w:pPr>
          </w:p>
        </w:tc>
        <w:tc>
          <w:tcPr>
            <w:tcW w:w="2719" w:type="dxa"/>
            <w:gridSpan w:val="3"/>
            <w:noWrap w:val="0"/>
            <w:vAlign w:val="center"/>
          </w:tcPr>
          <w:p w14:paraId="6FB3977B">
            <w:pPr>
              <w:jc w:val="left"/>
              <w:rPr>
                <w:rFonts w:ascii="Arial"/>
                <w:sz w:val="21"/>
              </w:rPr>
            </w:pPr>
          </w:p>
        </w:tc>
        <w:tc>
          <w:tcPr>
            <w:tcW w:w="1386" w:type="dxa"/>
            <w:noWrap w:val="0"/>
            <w:vAlign w:val="center"/>
          </w:tcPr>
          <w:p w14:paraId="2F1E117D">
            <w:pPr>
              <w:jc w:val="center"/>
              <w:rPr>
                <w:rFonts w:ascii="Arial"/>
                <w:sz w:val="21"/>
              </w:rPr>
            </w:pPr>
          </w:p>
        </w:tc>
        <w:tc>
          <w:tcPr>
            <w:tcW w:w="1318" w:type="dxa"/>
            <w:gridSpan w:val="2"/>
            <w:noWrap w:val="0"/>
            <w:vAlign w:val="center"/>
          </w:tcPr>
          <w:p w14:paraId="028AE2A3">
            <w:pPr>
              <w:jc w:val="center"/>
              <w:rPr>
                <w:rFonts w:ascii="Arial"/>
                <w:kern w:val="2"/>
                <w:sz w:val="21"/>
                <w:lang w:val="en-US" w:eastAsia="zh-CN" w:bidi="ar-SA"/>
              </w:rPr>
            </w:pPr>
          </w:p>
        </w:tc>
        <w:tc>
          <w:tcPr>
            <w:tcW w:w="884" w:type="dxa"/>
            <w:noWrap w:val="0"/>
            <w:vAlign w:val="center"/>
          </w:tcPr>
          <w:p w14:paraId="6F435D66">
            <w:pPr>
              <w:jc w:val="center"/>
              <w:rPr>
                <w:rFonts w:ascii="Arial"/>
                <w:sz w:val="21"/>
              </w:rPr>
            </w:pPr>
          </w:p>
        </w:tc>
      </w:tr>
      <w:tr w14:paraId="68BE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65322E60">
            <w:pPr>
              <w:spacing w:before="181" w:line="339" w:lineRule="exact"/>
              <w:ind w:left="175"/>
              <w:rPr>
                <w:rFonts w:ascii="宋体" w:hAnsi="宋体" w:eastAsia="宋体" w:cs="宋体"/>
                <w:sz w:val="22"/>
                <w:szCs w:val="22"/>
              </w:rPr>
            </w:pPr>
          </w:p>
        </w:tc>
        <w:tc>
          <w:tcPr>
            <w:tcW w:w="689" w:type="dxa"/>
            <w:vMerge w:val="continue"/>
            <w:noWrap w:val="0"/>
            <w:vAlign w:val="center"/>
          </w:tcPr>
          <w:p w14:paraId="117A1DCF">
            <w:pPr>
              <w:jc w:val="center"/>
              <w:rPr>
                <w:rFonts w:ascii="Arial"/>
                <w:b/>
                <w:bCs/>
                <w:sz w:val="21"/>
              </w:rPr>
            </w:pPr>
          </w:p>
        </w:tc>
        <w:tc>
          <w:tcPr>
            <w:tcW w:w="1119" w:type="dxa"/>
            <w:vMerge w:val="continue"/>
            <w:noWrap w:val="0"/>
            <w:vAlign w:val="center"/>
          </w:tcPr>
          <w:p w14:paraId="372DAED5">
            <w:pPr>
              <w:jc w:val="center"/>
              <w:rPr>
                <w:rFonts w:ascii="Arial"/>
                <w:sz w:val="21"/>
              </w:rPr>
            </w:pPr>
          </w:p>
        </w:tc>
        <w:tc>
          <w:tcPr>
            <w:tcW w:w="2719" w:type="dxa"/>
            <w:gridSpan w:val="3"/>
            <w:noWrap w:val="0"/>
            <w:vAlign w:val="center"/>
          </w:tcPr>
          <w:p w14:paraId="4AF3E483">
            <w:pPr>
              <w:jc w:val="left"/>
              <w:rPr>
                <w:rFonts w:ascii="Arial"/>
                <w:sz w:val="21"/>
              </w:rPr>
            </w:pPr>
          </w:p>
        </w:tc>
        <w:tc>
          <w:tcPr>
            <w:tcW w:w="1386" w:type="dxa"/>
            <w:noWrap w:val="0"/>
            <w:vAlign w:val="center"/>
          </w:tcPr>
          <w:p w14:paraId="2EB43A93">
            <w:pPr>
              <w:jc w:val="center"/>
              <w:rPr>
                <w:rFonts w:ascii="Arial"/>
                <w:sz w:val="21"/>
              </w:rPr>
            </w:pPr>
          </w:p>
        </w:tc>
        <w:tc>
          <w:tcPr>
            <w:tcW w:w="1318" w:type="dxa"/>
            <w:gridSpan w:val="2"/>
            <w:noWrap w:val="0"/>
            <w:vAlign w:val="center"/>
          </w:tcPr>
          <w:p w14:paraId="5FCD2E6F">
            <w:pPr>
              <w:jc w:val="center"/>
              <w:rPr>
                <w:rFonts w:ascii="Arial"/>
                <w:kern w:val="2"/>
                <w:sz w:val="21"/>
                <w:lang w:val="en-US" w:eastAsia="zh-CN" w:bidi="ar-SA"/>
              </w:rPr>
            </w:pPr>
          </w:p>
        </w:tc>
        <w:tc>
          <w:tcPr>
            <w:tcW w:w="884" w:type="dxa"/>
            <w:noWrap w:val="0"/>
            <w:vAlign w:val="center"/>
          </w:tcPr>
          <w:p w14:paraId="5EB55473">
            <w:pPr>
              <w:jc w:val="center"/>
              <w:rPr>
                <w:rFonts w:ascii="Arial"/>
                <w:sz w:val="21"/>
              </w:rPr>
            </w:pPr>
          </w:p>
        </w:tc>
      </w:tr>
      <w:tr w14:paraId="51ABE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1157C60">
            <w:pPr>
              <w:spacing w:before="159" w:line="220" w:lineRule="auto"/>
              <w:ind w:left="175"/>
              <w:rPr>
                <w:rFonts w:ascii="宋体" w:hAnsi="宋体" w:eastAsia="宋体" w:cs="宋体"/>
                <w:sz w:val="22"/>
                <w:szCs w:val="22"/>
              </w:rPr>
            </w:pPr>
          </w:p>
        </w:tc>
        <w:tc>
          <w:tcPr>
            <w:tcW w:w="689" w:type="dxa"/>
            <w:vMerge w:val="restart"/>
            <w:noWrap w:val="0"/>
            <w:vAlign w:val="center"/>
          </w:tcPr>
          <w:p w14:paraId="74F3AEF9">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66EAE655">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2E6949F0">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72629E5C">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效</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益</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4C62B2D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（30分）</w:t>
            </w:r>
          </w:p>
        </w:tc>
        <w:tc>
          <w:tcPr>
            <w:tcW w:w="1119" w:type="dxa"/>
            <w:vMerge w:val="restart"/>
            <w:noWrap w:val="0"/>
            <w:vAlign w:val="center"/>
          </w:tcPr>
          <w:p w14:paraId="402AC85C">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经济效益指标</w:t>
            </w:r>
          </w:p>
        </w:tc>
        <w:tc>
          <w:tcPr>
            <w:tcW w:w="2719" w:type="dxa"/>
            <w:gridSpan w:val="3"/>
            <w:noWrap w:val="0"/>
            <w:vAlign w:val="center"/>
          </w:tcPr>
          <w:p w14:paraId="6FCEC4AE">
            <w:pPr>
              <w:keepNext w:val="0"/>
              <w:keepLines w:val="0"/>
              <w:widowControl/>
              <w:suppressLineNumbers w:val="0"/>
              <w:jc w:val="left"/>
              <w:textAlignment w:val="center"/>
              <w:rPr>
                <w:rFonts w:hint="eastAsia" w:eastAsia="仿宋"/>
                <w:lang w:val="en-US" w:eastAsia="zh-CN"/>
              </w:rPr>
            </w:pPr>
            <w:r>
              <w:rPr>
                <w:rFonts w:hint="eastAsia" w:ascii="仿宋" w:hAnsi="仿宋" w:eastAsia="仿宋" w:cs="仿宋"/>
                <w:i w:val="0"/>
                <w:iCs w:val="0"/>
                <w:color w:val="000000"/>
                <w:kern w:val="0"/>
                <w:sz w:val="22"/>
                <w:szCs w:val="22"/>
                <w:u w:val="none"/>
                <w:lang w:val="en-US" w:eastAsia="zh-CN" w:bidi="ar"/>
              </w:rPr>
              <w:t>人口普查数据处理、评估、汇总</w:t>
            </w:r>
          </w:p>
        </w:tc>
        <w:tc>
          <w:tcPr>
            <w:tcW w:w="1386" w:type="dxa"/>
            <w:noWrap w:val="0"/>
            <w:vAlign w:val="center"/>
          </w:tcPr>
          <w:p w14:paraId="7897E25B">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5863C187">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7542CCE9">
            <w:pPr>
              <w:keepNext w:val="0"/>
              <w:keepLines w:val="0"/>
              <w:widowControl/>
              <w:suppressLineNumbers w:val="0"/>
              <w:jc w:val="center"/>
              <w:textAlignment w:val="center"/>
            </w:pPr>
            <w:r>
              <w:rPr>
                <w:rFonts w:hint="eastAsia" w:ascii="Arial"/>
                <w:sz w:val="21"/>
                <w:lang w:val="en-US" w:eastAsia="zh-CN"/>
              </w:rPr>
              <w:t>10分</w:t>
            </w:r>
          </w:p>
        </w:tc>
      </w:tr>
      <w:tr w14:paraId="0DEE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B1A6AFE">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6EE1220C">
            <w:pPr>
              <w:jc w:val="center"/>
              <w:rPr>
                <w:rFonts w:ascii="Arial"/>
                <w:b/>
                <w:bCs/>
                <w:sz w:val="21"/>
              </w:rPr>
            </w:pPr>
          </w:p>
        </w:tc>
        <w:tc>
          <w:tcPr>
            <w:tcW w:w="1119" w:type="dxa"/>
            <w:vMerge w:val="continue"/>
            <w:noWrap w:val="0"/>
            <w:vAlign w:val="center"/>
          </w:tcPr>
          <w:p w14:paraId="25637080">
            <w:pPr>
              <w:jc w:val="center"/>
            </w:pPr>
          </w:p>
        </w:tc>
        <w:tc>
          <w:tcPr>
            <w:tcW w:w="2719" w:type="dxa"/>
            <w:gridSpan w:val="3"/>
            <w:noWrap w:val="0"/>
            <w:vAlign w:val="center"/>
          </w:tcPr>
          <w:p w14:paraId="7A364B83">
            <w:pPr>
              <w:jc w:val="center"/>
            </w:pPr>
          </w:p>
        </w:tc>
        <w:tc>
          <w:tcPr>
            <w:tcW w:w="1386" w:type="dxa"/>
            <w:noWrap w:val="0"/>
            <w:vAlign w:val="center"/>
          </w:tcPr>
          <w:p w14:paraId="5FE5C84C">
            <w:pPr>
              <w:jc w:val="left"/>
            </w:pPr>
          </w:p>
        </w:tc>
        <w:tc>
          <w:tcPr>
            <w:tcW w:w="1318" w:type="dxa"/>
            <w:gridSpan w:val="2"/>
            <w:noWrap w:val="0"/>
            <w:vAlign w:val="center"/>
          </w:tcPr>
          <w:p w14:paraId="3344E465">
            <w:pPr>
              <w:jc w:val="left"/>
              <w:rPr>
                <w:kern w:val="2"/>
                <w:sz w:val="21"/>
                <w:lang w:val="en-US" w:eastAsia="zh-CN" w:bidi="ar-SA"/>
              </w:rPr>
            </w:pPr>
          </w:p>
        </w:tc>
        <w:tc>
          <w:tcPr>
            <w:tcW w:w="884" w:type="dxa"/>
            <w:noWrap w:val="0"/>
            <w:vAlign w:val="center"/>
          </w:tcPr>
          <w:p w14:paraId="48162B86">
            <w:pPr>
              <w:jc w:val="center"/>
            </w:pPr>
          </w:p>
        </w:tc>
      </w:tr>
      <w:tr w14:paraId="3811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30ED38B">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577FBE8A">
            <w:pPr>
              <w:jc w:val="center"/>
              <w:rPr>
                <w:rFonts w:ascii="Arial"/>
                <w:b/>
                <w:bCs/>
                <w:sz w:val="21"/>
              </w:rPr>
            </w:pPr>
          </w:p>
        </w:tc>
        <w:tc>
          <w:tcPr>
            <w:tcW w:w="1119" w:type="dxa"/>
            <w:vMerge w:val="restart"/>
            <w:noWrap w:val="0"/>
            <w:vAlign w:val="center"/>
          </w:tcPr>
          <w:p w14:paraId="00198429">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社会效益指标</w:t>
            </w:r>
          </w:p>
        </w:tc>
        <w:tc>
          <w:tcPr>
            <w:tcW w:w="2719" w:type="dxa"/>
            <w:gridSpan w:val="3"/>
            <w:noWrap w:val="0"/>
            <w:vAlign w:val="center"/>
          </w:tcPr>
          <w:p w14:paraId="6ED18894">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为部门单位提供统计数据</w:t>
            </w:r>
          </w:p>
        </w:tc>
        <w:tc>
          <w:tcPr>
            <w:tcW w:w="1386" w:type="dxa"/>
            <w:noWrap w:val="0"/>
            <w:vAlign w:val="center"/>
          </w:tcPr>
          <w:p w14:paraId="11E7A2E2">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66BA8B3C">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72A80A58">
            <w:pPr>
              <w:keepNext w:val="0"/>
              <w:keepLines w:val="0"/>
              <w:widowControl/>
              <w:suppressLineNumbers w:val="0"/>
              <w:jc w:val="center"/>
              <w:textAlignment w:val="center"/>
            </w:pPr>
            <w:r>
              <w:rPr>
                <w:rFonts w:hint="eastAsia" w:ascii="Arial"/>
                <w:sz w:val="21"/>
                <w:lang w:val="en-US" w:eastAsia="zh-CN"/>
              </w:rPr>
              <w:t>4分</w:t>
            </w:r>
          </w:p>
        </w:tc>
      </w:tr>
      <w:tr w14:paraId="3A9C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6722C47">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73B1C936">
            <w:pPr>
              <w:jc w:val="center"/>
              <w:rPr>
                <w:rFonts w:ascii="Arial"/>
                <w:b/>
                <w:bCs/>
                <w:sz w:val="21"/>
              </w:rPr>
            </w:pPr>
          </w:p>
        </w:tc>
        <w:tc>
          <w:tcPr>
            <w:tcW w:w="1119" w:type="dxa"/>
            <w:vMerge w:val="continue"/>
            <w:noWrap w:val="0"/>
            <w:vAlign w:val="center"/>
          </w:tcPr>
          <w:p w14:paraId="71DABC2D">
            <w:pPr>
              <w:jc w:val="center"/>
            </w:pPr>
          </w:p>
        </w:tc>
        <w:tc>
          <w:tcPr>
            <w:tcW w:w="2719" w:type="dxa"/>
            <w:gridSpan w:val="3"/>
            <w:noWrap w:val="0"/>
            <w:vAlign w:val="center"/>
          </w:tcPr>
          <w:p w14:paraId="3ABCBC3D">
            <w:pPr>
              <w:jc w:val="left"/>
            </w:pPr>
            <w:r>
              <w:rPr>
                <w:rFonts w:hint="eastAsia" w:ascii="仿宋" w:hAnsi="仿宋" w:eastAsia="仿宋" w:cs="仿宋"/>
                <w:i w:val="0"/>
                <w:iCs w:val="0"/>
                <w:color w:val="000000"/>
                <w:kern w:val="0"/>
                <w:sz w:val="22"/>
                <w:szCs w:val="22"/>
                <w:u w:val="none"/>
                <w:lang w:val="en-US" w:eastAsia="zh-CN" w:bidi="ar"/>
              </w:rPr>
              <w:t>检验统计数据公信力</w:t>
            </w:r>
          </w:p>
        </w:tc>
        <w:tc>
          <w:tcPr>
            <w:tcW w:w="1386" w:type="dxa"/>
            <w:noWrap w:val="0"/>
            <w:vAlign w:val="center"/>
          </w:tcPr>
          <w:p w14:paraId="767DA43E">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13884D30">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3C399AAC">
            <w:pPr>
              <w:keepNext w:val="0"/>
              <w:keepLines w:val="0"/>
              <w:widowControl/>
              <w:suppressLineNumbers w:val="0"/>
              <w:jc w:val="center"/>
              <w:textAlignment w:val="center"/>
            </w:pPr>
            <w:r>
              <w:rPr>
                <w:rFonts w:hint="eastAsia" w:ascii="Arial"/>
                <w:sz w:val="21"/>
                <w:lang w:val="en-US" w:eastAsia="zh-CN"/>
              </w:rPr>
              <w:t>5分</w:t>
            </w:r>
          </w:p>
        </w:tc>
      </w:tr>
      <w:tr w14:paraId="2F94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364A2195">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6D0215BF">
            <w:pPr>
              <w:jc w:val="center"/>
              <w:rPr>
                <w:rFonts w:ascii="Arial"/>
                <w:b/>
                <w:bCs/>
                <w:sz w:val="21"/>
              </w:rPr>
            </w:pPr>
          </w:p>
        </w:tc>
        <w:tc>
          <w:tcPr>
            <w:tcW w:w="1119" w:type="dxa"/>
            <w:vMerge w:val="restart"/>
            <w:noWrap w:val="0"/>
            <w:vAlign w:val="center"/>
          </w:tcPr>
          <w:p w14:paraId="5EC6F450">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环境效益指标</w:t>
            </w:r>
          </w:p>
        </w:tc>
        <w:tc>
          <w:tcPr>
            <w:tcW w:w="2719" w:type="dxa"/>
            <w:gridSpan w:val="3"/>
            <w:noWrap w:val="0"/>
            <w:vAlign w:val="center"/>
          </w:tcPr>
          <w:p w14:paraId="1C5101E4">
            <w:pPr>
              <w:jc w:val="left"/>
            </w:pPr>
          </w:p>
        </w:tc>
        <w:tc>
          <w:tcPr>
            <w:tcW w:w="1386" w:type="dxa"/>
            <w:noWrap w:val="0"/>
            <w:vAlign w:val="center"/>
          </w:tcPr>
          <w:p w14:paraId="60B4DFB5"/>
        </w:tc>
        <w:tc>
          <w:tcPr>
            <w:tcW w:w="1318" w:type="dxa"/>
            <w:gridSpan w:val="2"/>
            <w:noWrap w:val="0"/>
            <w:vAlign w:val="center"/>
          </w:tcPr>
          <w:p w14:paraId="38A2E978">
            <w:pPr>
              <w:rPr>
                <w:kern w:val="2"/>
                <w:sz w:val="21"/>
                <w:lang w:val="en-US" w:eastAsia="zh-CN" w:bidi="ar-SA"/>
              </w:rPr>
            </w:pPr>
          </w:p>
        </w:tc>
        <w:tc>
          <w:tcPr>
            <w:tcW w:w="884" w:type="dxa"/>
            <w:noWrap w:val="0"/>
            <w:vAlign w:val="center"/>
          </w:tcPr>
          <w:p w14:paraId="5B4FAF02">
            <w:pPr>
              <w:keepNext w:val="0"/>
              <w:keepLines w:val="0"/>
              <w:widowControl/>
              <w:suppressLineNumbers w:val="0"/>
              <w:jc w:val="center"/>
              <w:textAlignment w:val="center"/>
            </w:pPr>
          </w:p>
        </w:tc>
      </w:tr>
      <w:tr w14:paraId="1049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257BB3E3">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01AE575E">
            <w:pPr>
              <w:jc w:val="center"/>
              <w:rPr>
                <w:rFonts w:ascii="Arial"/>
                <w:b/>
                <w:bCs/>
                <w:sz w:val="21"/>
              </w:rPr>
            </w:pPr>
          </w:p>
        </w:tc>
        <w:tc>
          <w:tcPr>
            <w:tcW w:w="1119" w:type="dxa"/>
            <w:vMerge w:val="continue"/>
            <w:noWrap w:val="0"/>
            <w:vAlign w:val="center"/>
          </w:tcPr>
          <w:p w14:paraId="0C5EE049">
            <w:pPr>
              <w:jc w:val="center"/>
            </w:pPr>
          </w:p>
        </w:tc>
        <w:tc>
          <w:tcPr>
            <w:tcW w:w="2719" w:type="dxa"/>
            <w:gridSpan w:val="3"/>
            <w:noWrap w:val="0"/>
            <w:vAlign w:val="center"/>
          </w:tcPr>
          <w:p w14:paraId="69282421">
            <w:pPr>
              <w:jc w:val="left"/>
            </w:pPr>
          </w:p>
        </w:tc>
        <w:tc>
          <w:tcPr>
            <w:tcW w:w="1386" w:type="dxa"/>
            <w:noWrap w:val="0"/>
            <w:vAlign w:val="center"/>
          </w:tcPr>
          <w:p w14:paraId="7DCA0D49"/>
        </w:tc>
        <w:tc>
          <w:tcPr>
            <w:tcW w:w="1318" w:type="dxa"/>
            <w:gridSpan w:val="2"/>
            <w:noWrap w:val="0"/>
            <w:vAlign w:val="center"/>
          </w:tcPr>
          <w:p w14:paraId="00CD3EA0">
            <w:pPr>
              <w:rPr>
                <w:kern w:val="2"/>
                <w:sz w:val="21"/>
                <w:lang w:val="en-US" w:eastAsia="zh-CN" w:bidi="ar-SA"/>
              </w:rPr>
            </w:pPr>
          </w:p>
        </w:tc>
        <w:tc>
          <w:tcPr>
            <w:tcW w:w="884" w:type="dxa"/>
            <w:noWrap w:val="0"/>
            <w:vAlign w:val="center"/>
          </w:tcPr>
          <w:p w14:paraId="55B810F3">
            <w:pPr>
              <w:jc w:val="center"/>
            </w:pPr>
          </w:p>
        </w:tc>
      </w:tr>
      <w:tr w14:paraId="064E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3090879">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1553FEB3">
            <w:pPr>
              <w:jc w:val="center"/>
              <w:rPr>
                <w:rFonts w:ascii="Arial"/>
                <w:b/>
                <w:bCs/>
                <w:sz w:val="21"/>
              </w:rPr>
            </w:pPr>
          </w:p>
        </w:tc>
        <w:tc>
          <w:tcPr>
            <w:tcW w:w="1119" w:type="dxa"/>
            <w:vMerge w:val="restart"/>
            <w:noWrap w:val="0"/>
            <w:vAlign w:val="center"/>
          </w:tcPr>
          <w:p w14:paraId="6D317A00">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可持续影响指标</w:t>
            </w:r>
          </w:p>
        </w:tc>
        <w:tc>
          <w:tcPr>
            <w:tcW w:w="2719" w:type="dxa"/>
            <w:gridSpan w:val="3"/>
            <w:noWrap w:val="0"/>
            <w:vAlign w:val="center"/>
          </w:tcPr>
          <w:p w14:paraId="449029AD">
            <w:pPr>
              <w:jc w:val="left"/>
            </w:pPr>
            <w:r>
              <w:rPr>
                <w:rFonts w:hint="eastAsia" w:ascii="仿宋" w:hAnsi="仿宋" w:eastAsia="仿宋" w:cs="仿宋"/>
                <w:i w:val="0"/>
                <w:iCs w:val="0"/>
                <w:color w:val="000000"/>
                <w:kern w:val="0"/>
                <w:sz w:val="22"/>
                <w:szCs w:val="22"/>
                <w:u w:val="none"/>
                <w:lang w:val="en-US" w:eastAsia="zh-CN" w:bidi="ar"/>
              </w:rPr>
              <w:t>为各单位提供人口数量、结构、分布、住房等数据</w:t>
            </w:r>
          </w:p>
        </w:tc>
        <w:tc>
          <w:tcPr>
            <w:tcW w:w="1386" w:type="dxa"/>
            <w:noWrap w:val="0"/>
            <w:vAlign w:val="center"/>
          </w:tcPr>
          <w:p w14:paraId="15EF09C0">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5098774D">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84A4082">
            <w:pPr>
              <w:keepNext w:val="0"/>
              <w:keepLines w:val="0"/>
              <w:widowControl/>
              <w:suppressLineNumbers w:val="0"/>
              <w:jc w:val="center"/>
              <w:textAlignment w:val="center"/>
            </w:pPr>
            <w:r>
              <w:rPr>
                <w:rFonts w:hint="eastAsia" w:ascii="Arial"/>
                <w:sz w:val="21"/>
                <w:lang w:val="en-US" w:eastAsia="zh-CN"/>
              </w:rPr>
              <w:t>9分</w:t>
            </w:r>
          </w:p>
        </w:tc>
      </w:tr>
      <w:tr w14:paraId="0D4B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337EE707">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5CD8D8F5">
            <w:pPr>
              <w:jc w:val="center"/>
              <w:rPr>
                <w:rFonts w:ascii="Arial"/>
                <w:b/>
                <w:bCs/>
                <w:sz w:val="21"/>
              </w:rPr>
            </w:pPr>
          </w:p>
        </w:tc>
        <w:tc>
          <w:tcPr>
            <w:tcW w:w="1119" w:type="dxa"/>
            <w:vMerge w:val="continue"/>
            <w:noWrap w:val="0"/>
            <w:vAlign w:val="center"/>
          </w:tcPr>
          <w:p w14:paraId="4B02CD6B">
            <w:pPr>
              <w:jc w:val="center"/>
            </w:pPr>
          </w:p>
        </w:tc>
        <w:tc>
          <w:tcPr>
            <w:tcW w:w="2719" w:type="dxa"/>
            <w:gridSpan w:val="3"/>
            <w:noWrap w:val="0"/>
            <w:vAlign w:val="center"/>
          </w:tcPr>
          <w:p w14:paraId="2E6E1D6B">
            <w:pPr>
              <w:jc w:val="left"/>
            </w:pPr>
          </w:p>
        </w:tc>
        <w:tc>
          <w:tcPr>
            <w:tcW w:w="1386" w:type="dxa"/>
            <w:noWrap w:val="0"/>
            <w:vAlign w:val="center"/>
          </w:tcPr>
          <w:p w14:paraId="1703625E"/>
        </w:tc>
        <w:tc>
          <w:tcPr>
            <w:tcW w:w="1318" w:type="dxa"/>
            <w:gridSpan w:val="2"/>
            <w:noWrap w:val="0"/>
            <w:vAlign w:val="center"/>
          </w:tcPr>
          <w:p w14:paraId="76C718C2">
            <w:pPr>
              <w:rPr>
                <w:kern w:val="2"/>
                <w:sz w:val="21"/>
                <w:lang w:val="en-US" w:eastAsia="zh-CN" w:bidi="ar-SA"/>
              </w:rPr>
            </w:pPr>
          </w:p>
        </w:tc>
        <w:tc>
          <w:tcPr>
            <w:tcW w:w="884" w:type="dxa"/>
            <w:noWrap w:val="0"/>
            <w:vAlign w:val="center"/>
          </w:tcPr>
          <w:p w14:paraId="517B9603">
            <w:pPr>
              <w:jc w:val="center"/>
            </w:pPr>
          </w:p>
        </w:tc>
      </w:tr>
      <w:tr w14:paraId="0081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58265480">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0FEBCC4C">
            <w:pPr>
              <w:jc w:val="center"/>
              <w:rPr>
                <w:rFonts w:ascii="Arial"/>
                <w:b/>
                <w:bCs/>
                <w:sz w:val="21"/>
              </w:rPr>
            </w:pPr>
          </w:p>
        </w:tc>
        <w:tc>
          <w:tcPr>
            <w:tcW w:w="1119" w:type="dxa"/>
            <w:vMerge w:val="continue"/>
            <w:noWrap w:val="0"/>
            <w:vAlign w:val="center"/>
          </w:tcPr>
          <w:p w14:paraId="7E4A24B0">
            <w:pPr>
              <w:jc w:val="center"/>
            </w:pPr>
          </w:p>
        </w:tc>
        <w:tc>
          <w:tcPr>
            <w:tcW w:w="2719" w:type="dxa"/>
            <w:gridSpan w:val="3"/>
            <w:noWrap w:val="0"/>
            <w:vAlign w:val="center"/>
          </w:tcPr>
          <w:p w14:paraId="4A24C4EB">
            <w:pPr>
              <w:jc w:val="left"/>
            </w:pPr>
          </w:p>
        </w:tc>
        <w:tc>
          <w:tcPr>
            <w:tcW w:w="1386" w:type="dxa"/>
            <w:noWrap w:val="0"/>
            <w:vAlign w:val="center"/>
          </w:tcPr>
          <w:p w14:paraId="4A83ABE7"/>
        </w:tc>
        <w:tc>
          <w:tcPr>
            <w:tcW w:w="1318" w:type="dxa"/>
            <w:gridSpan w:val="2"/>
            <w:noWrap w:val="0"/>
            <w:vAlign w:val="center"/>
          </w:tcPr>
          <w:p w14:paraId="0BA93CB7">
            <w:pPr>
              <w:rPr>
                <w:kern w:val="2"/>
                <w:sz w:val="21"/>
                <w:lang w:val="en-US" w:eastAsia="zh-CN" w:bidi="ar-SA"/>
              </w:rPr>
            </w:pPr>
          </w:p>
        </w:tc>
        <w:tc>
          <w:tcPr>
            <w:tcW w:w="884" w:type="dxa"/>
            <w:noWrap w:val="0"/>
            <w:vAlign w:val="center"/>
          </w:tcPr>
          <w:p w14:paraId="2FE088E0">
            <w:pPr>
              <w:jc w:val="center"/>
            </w:pPr>
          </w:p>
        </w:tc>
      </w:tr>
      <w:tr w14:paraId="5057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814" w:type="dxa"/>
            <w:vMerge w:val="continue"/>
            <w:noWrap w:val="0"/>
            <w:vAlign w:val="top"/>
          </w:tcPr>
          <w:p w14:paraId="4042AB68">
            <w:pPr>
              <w:spacing w:before="159" w:line="220" w:lineRule="auto"/>
              <w:ind w:left="175"/>
              <w:rPr>
                <w:rFonts w:ascii="宋体" w:hAnsi="宋体" w:eastAsia="宋体" w:cs="宋体"/>
                <w:b/>
                <w:bCs/>
                <w:spacing w:val="4"/>
                <w:sz w:val="22"/>
                <w:szCs w:val="22"/>
              </w:rPr>
            </w:pPr>
          </w:p>
        </w:tc>
        <w:tc>
          <w:tcPr>
            <w:tcW w:w="689" w:type="dxa"/>
            <w:noWrap w:val="0"/>
            <w:vAlign w:val="center"/>
          </w:tcPr>
          <w:p w14:paraId="563B7CBB">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服务对象满意度指标（10分）</w:t>
            </w:r>
          </w:p>
        </w:tc>
        <w:tc>
          <w:tcPr>
            <w:tcW w:w="1119" w:type="dxa"/>
            <w:noWrap w:val="0"/>
            <w:vAlign w:val="center"/>
          </w:tcPr>
          <w:p w14:paraId="50A1AF92">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具体指标</w:t>
            </w:r>
          </w:p>
        </w:tc>
        <w:tc>
          <w:tcPr>
            <w:tcW w:w="2719" w:type="dxa"/>
            <w:gridSpan w:val="3"/>
            <w:noWrap w:val="0"/>
            <w:vAlign w:val="center"/>
          </w:tcPr>
          <w:p w14:paraId="3FA982A5">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调查对象满意度</w:t>
            </w:r>
          </w:p>
        </w:tc>
        <w:tc>
          <w:tcPr>
            <w:tcW w:w="1386" w:type="dxa"/>
            <w:noWrap w:val="0"/>
            <w:vAlign w:val="center"/>
          </w:tcPr>
          <w:p w14:paraId="6739F900">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76752887">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70A8A6E">
            <w:pPr>
              <w:keepNext w:val="0"/>
              <w:keepLines w:val="0"/>
              <w:widowControl/>
              <w:suppressLineNumbers w:val="0"/>
              <w:jc w:val="center"/>
              <w:textAlignment w:val="center"/>
            </w:pPr>
            <w:r>
              <w:rPr>
                <w:rFonts w:hint="eastAsia" w:ascii="Arial"/>
                <w:sz w:val="21"/>
                <w:lang w:val="en-US" w:eastAsia="zh-CN"/>
              </w:rPr>
              <w:t>9分</w:t>
            </w:r>
          </w:p>
        </w:tc>
      </w:tr>
      <w:tr w14:paraId="7C3A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54170437">
            <w:pPr>
              <w:spacing w:before="159" w:line="220" w:lineRule="auto"/>
              <w:ind w:left="175" w:leftChars="0"/>
              <w:rPr>
                <w:rFonts w:ascii="宋体" w:hAnsi="宋体" w:eastAsia="宋体" w:cs="宋体"/>
                <w:b/>
                <w:bCs/>
                <w:spacing w:val="4"/>
                <w:sz w:val="22"/>
                <w:szCs w:val="22"/>
              </w:rPr>
            </w:pPr>
            <w:r>
              <w:rPr>
                <w:rFonts w:ascii="宋体" w:hAnsi="宋体" w:eastAsia="宋体" w:cs="宋体"/>
                <w:b/>
                <w:bCs/>
                <w:spacing w:val="4"/>
                <w:sz w:val="22"/>
                <w:szCs w:val="22"/>
              </w:rPr>
              <w:t>总分</w:t>
            </w:r>
          </w:p>
        </w:tc>
        <w:tc>
          <w:tcPr>
            <w:tcW w:w="8115" w:type="dxa"/>
            <w:gridSpan w:val="9"/>
            <w:noWrap w:val="0"/>
            <w:vAlign w:val="top"/>
          </w:tcPr>
          <w:p w14:paraId="1AC80D7B">
            <w:pPr>
              <w:spacing w:before="159" w:line="220" w:lineRule="auto"/>
              <w:ind w:left="175" w:leftChars="0"/>
              <w:rPr>
                <w:rFonts w:hint="default" w:eastAsiaTheme="minorEastAsia"/>
                <w:lang w:val="en-US" w:eastAsia="zh-CN"/>
              </w:rPr>
            </w:pPr>
            <w:r>
              <w:rPr>
                <w:rFonts w:hint="eastAsia"/>
                <w:lang w:val="en-US" w:eastAsia="zh-CN"/>
              </w:rPr>
              <w:t>97</w:t>
            </w:r>
          </w:p>
        </w:tc>
      </w:tr>
      <w:tr w14:paraId="2EEF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814" w:type="dxa"/>
            <w:noWrap w:val="0"/>
            <w:vAlign w:val="top"/>
          </w:tcPr>
          <w:p w14:paraId="316505CE">
            <w:pPr>
              <w:jc w:val="center"/>
              <w:rPr>
                <w:rFonts w:ascii="宋体" w:hAnsi="宋体" w:eastAsia="宋体" w:cs="宋体"/>
                <w:b w:val="0"/>
                <w:bCs w:val="0"/>
                <w:kern w:val="2"/>
                <w:sz w:val="20"/>
                <w:szCs w:val="20"/>
                <w:lang w:val="en-US" w:eastAsia="zh-CN" w:bidi="ar-SA"/>
              </w:rPr>
            </w:pPr>
            <w:r>
              <w:rPr>
                <w:b w:val="0"/>
                <w:bCs w:val="0"/>
                <w:sz w:val="20"/>
                <w:szCs w:val="20"/>
              </w:rPr>
              <w:t>偏差</w:t>
            </w:r>
            <w:r>
              <w:rPr>
                <w:rFonts w:hint="eastAsia"/>
                <w:b w:val="0"/>
                <w:bCs w:val="0"/>
                <w:sz w:val="20"/>
                <w:szCs w:val="20"/>
                <w:lang w:eastAsia="zh-CN"/>
              </w:rPr>
              <w:t>过大</w:t>
            </w:r>
            <w:r>
              <w:rPr>
                <w:b w:val="0"/>
                <w:bCs w:val="0"/>
                <w:sz w:val="20"/>
                <w:szCs w:val="20"/>
              </w:rPr>
              <w:t>或目标未完成原因分析</w:t>
            </w:r>
          </w:p>
        </w:tc>
        <w:tc>
          <w:tcPr>
            <w:tcW w:w="8115" w:type="dxa"/>
            <w:gridSpan w:val="9"/>
            <w:noWrap w:val="0"/>
            <w:vAlign w:val="top"/>
          </w:tcPr>
          <w:p w14:paraId="38CFD94F">
            <w:pPr>
              <w:rPr>
                <w:rFonts w:hint="eastAsia" w:ascii="Arial" w:eastAsia="宋体" w:hAnsiTheme="minorHAnsi" w:cstheme="minorBidi"/>
                <w:kern w:val="2"/>
                <w:sz w:val="21"/>
                <w:szCs w:val="24"/>
                <w:lang w:val="en-US" w:eastAsia="zh-CN" w:bidi="ar-SA"/>
              </w:rPr>
            </w:pPr>
            <w:r>
              <w:rPr>
                <w:rFonts w:hint="eastAsia" w:ascii="Arial"/>
                <w:sz w:val="21"/>
                <w:lang w:eastAsia="zh-CN"/>
              </w:rPr>
              <w:t>无</w:t>
            </w:r>
          </w:p>
        </w:tc>
      </w:tr>
      <w:tr w14:paraId="5D24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739202D0">
            <w:pPr>
              <w:spacing w:before="65" w:line="267" w:lineRule="auto"/>
              <w:ind w:right="147" w:rightChars="0"/>
              <w:jc w:val="both"/>
              <w:rPr>
                <w:rFonts w:ascii="宋体" w:hAnsi="宋体" w:eastAsia="宋体" w:cs="宋体"/>
                <w:b w:val="0"/>
                <w:bCs w:val="0"/>
                <w:kern w:val="2"/>
                <w:sz w:val="20"/>
                <w:szCs w:val="20"/>
                <w:lang w:val="en-US" w:eastAsia="zh-CN" w:bidi="ar-SA"/>
              </w:rPr>
            </w:pPr>
            <w:r>
              <w:rPr>
                <w:b w:val="0"/>
                <w:bCs w:val="0"/>
                <w:sz w:val="20"/>
                <w:szCs w:val="20"/>
              </w:rPr>
              <w:t>改进措施及  结果应用方案</w:t>
            </w:r>
          </w:p>
        </w:tc>
        <w:tc>
          <w:tcPr>
            <w:tcW w:w="8115" w:type="dxa"/>
            <w:gridSpan w:val="9"/>
            <w:noWrap w:val="0"/>
            <w:vAlign w:val="top"/>
          </w:tcPr>
          <w:p w14:paraId="2ABC7D28">
            <w:pPr>
              <w:rPr>
                <w:rFonts w:hint="eastAsia" w:ascii="Arial" w:eastAsia="宋体" w:hAnsiTheme="minorHAnsi" w:cstheme="minorBidi"/>
                <w:kern w:val="2"/>
                <w:sz w:val="21"/>
                <w:szCs w:val="24"/>
                <w:lang w:val="en-US" w:eastAsia="zh-CN" w:bidi="ar-SA"/>
              </w:rPr>
            </w:pPr>
            <w:r>
              <w:rPr>
                <w:rFonts w:hint="eastAsia" w:ascii="Arial"/>
                <w:sz w:val="21"/>
                <w:lang w:eastAsia="zh-CN"/>
              </w:rPr>
              <w:t>无</w:t>
            </w:r>
          </w:p>
        </w:tc>
      </w:tr>
    </w:tbl>
    <w:p w14:paraId="42666919">
      <w:pPr>
        <w:widowControl/>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2. 常规专项业务专项经费绩效自评</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 项目全年预算数为36万元，其中：一般公共预算财政拨款36万元。执行数为36万元，完成预算100%。</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主要产出和效益：健全五大新区统计站网络建设，高质量完成我区城乡一体化住户等各项工作。一是通过业务培训提高基层统计业务能力；二是强化统计基础工作，增强依法统计意识，提高统计数据质量，全面提升统计工作水平，为“首善下陆”提供坚强的统计数据保障；三是为区委区政府提供经济数据。</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发现的问题及原因：统计常规专项经费较少，无法将电子记帐户普查面扩大。</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下一步改进措施：结合以往年度实际情况，科学测算相关工作经费预算，进一步提高预算编制的准确性。</w:t>
      </w:r>
    </w:p>
    <w:tbl>
      <w:tblPr>
        <w:tblStyle w:val="12"/>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1119"/>
        <w:gridCol w:w="1329"/>
        <w:gridCol w:w="949"/>
        <w:gridCol w:w="456"/>
        <w:gridCol w:w="1371"/>
        <w:gridCol w:w="689"/>
        <w:gridCol w:w="629"/>
        <w:gridCol w:w="884"/>
      </w:tblGrid>
      <w:tr w14:paraId="57BD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6922E54F">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8"/>
            <w:noWrap w:val="0"/>
            <w:vAlign w:val="center"/>
          </w:tcPr>
          <w:p w14:paraId="2EE83AA2">
            <w:pPr>
              <w:jc w:val="center"/>
              <w:rPr>
                <w:rFonts w:ascii="Arial"/>
                <w:sz w:val="21"/>
              </w:rPr>
            </w:pPr>
            <w:r>
              <w:rPr>
                <w:rFonts w:hint="eastAsia" w:ascii="Arial"/>
                <w:sz w:val="21"/>
              </w:rPr>
              <w:t>常规统计专项</w:t>
            </w:r>
          </w:p>
        </w:tc>
      </w:tr>
      <w:tr w14:paraId="0D803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128BB661">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3"/>
            <w:noWrap w:val="0"/>
            <w:vAlign w:val="center"/>
          </w:tcPr>
          <w:p w14:paraId="1AD1F6D2">
            <w:pPr>
              <w:jc w:val="center"/>
              <w:rPr>
                <w:rFonts w:ascii="Arial"/>
                <w:sz w:val="21"/>
              </w:rPr>
            </w:pPr>
            <w:r>
              <w:rPr>
                <w:rFonts w:hint="eastAsia" w:ascii="Arial"/>
                <w:sz w:val="21"/>
              </w:rPr>
              <w:t>下陆区统计局</w:t>
            </w:r>
          </w:p>
        </w:tc>
        <w:tc>
          <w:tcPr>
            <w:tcW w:w="2516" w:type="dxa"/>
            <w:gridSpan w:val="3"/>
            <w:noWrap w:val="0"/>
            <w:vAlign w:val="top"/>
          </w:tcPr>
          <w:p w14:paraId="5F1D77ED">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1F24BDA6">
            <w:pPr>
              <w:rPr>
                <w:rFonts w:ascii="Arial"/>
                <w:sz w:val="21"/>
              </w:rPr>
            </w:pPr>
            <w:r>
              <w:rPr>
                <w:rFonts w:hint="eastAsia" w:ascii="Arial"/>
                <w:sz w:val="21"/>
              </w:rPr>
              <w:t>下陆区统计局</w:t>
            </w:r>
          </w:p>
        </w:tc>
      </w:tr>
      <w:tr w14:paraId="2A4C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19E21055">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8"/>
            <w:noWrap w:val="0"/>
            <w:vAlign w:val="top"/>
          </w:tcPr>
          <w:p w14:paraId="28EB8134">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33EB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70314DE0">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8"/>
            <w:noWrap w:val="0"/>
            <w:vAlign w:val="top"/>
          </w:tcPr>
          <w:p w14:paraId="2E65F685">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716B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72DD2DD9">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8"/>
            <w:noWrap w:val="0"/>
            <w:vAlign w:val="top"/>
          </w:tcPr>
          <w:p w14:paraId="70FA014E">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37CE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173A3AAE">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7A5C3C51">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4622523B">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noWrap w:val="0"/>
            <w:vAlign w:val="top"/>
          </w:tcPr>
          <w:p w14:paraId="3588F3CE">
            <w:pPr>
              <w:rPr>
                <w:rFonts w:ascii="Arial"/>
                <w:sz w:val="21"/>
              </w:rPr>
            </w:pPr>
          </w:p>
        </w:tc>
        <w:tc>
          <w:tcPr>
            <w:tcW w:w="1329" w:type="dxa"/>
            <w:noWrap w:val="0"/>
            <w:vAlign w:val="top"/>
          </w:tcPr>
          <w:p w14:paraId="35568848">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405" w:type="dxa"/>
            <w:gridSpan w:val="2"/>
            <w:noWrap w:val="0"/>
            <w:vAlign w:val="top"/>
          </w:tcPr>
          <w:p w14:paraId="6EF051D0">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371" w:type="dxa"/>
            <w:noWrap w:val="0"/>
            <w:vAlign w:val="top"/>
          </w:tcPr>
          <w:p w14:paraId="51A2E802">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6DCDE79C">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09CEC765">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3406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731D62F3">
            <w:pPr>
              <w:rPr>
                <w:rFonts w:ascii="Arial"/>
                <w:sz w:val="21"/>
              </w:rPr>
            </w:pPr>
          </w:p>
        </w:tc>
        <w:tc>
          <w:tcPr>
            <w:tcW w:w="1119" w:type="dxa"/>
            <w:noWrap w:val="0"/>
            <w:vAlign w:val="top"/>
          </w:tcPr>
          <w:p w14:paraId="0C5EA1D6">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571CD431">
            <w:pPr>
              <w:jc w:val="center"/>
              <w:rPr>
                <w:rFonts w:hint="eastAsia" w:ascii="Arial" w:eastAsia="宋体"/>
                <w:sz w:val="21"/>
                <w:lang w:val="en-US" w:eastAsia="zh-CN"/>
              </w:rPr>
            </w:pPr>
            <w:r>
              <w:rPr>
                <w:rFonts w:hint="eastAsia" w:ascii="Arial"/>
                <w:sz w:val="21"/>
                <w:lang w:val="en-US" w:eastAsia="zh-CN"/>
              </w:rPr>
              <w:t>36</w:t>
            </w:r>
          </w:p>
        </w:tc>
        <w:tc>
          <w:tcPr>
            <w:tcW w:w="1405" w:type="dxa"/>
            <w:gridSpan w:val="2"/>
            <w:noWrap w:val="0"/>
            <w:vAlign w:val="center"/>
          </w:tcPr>
          <w:p w14:paraId="3A55B740">
            <w:pPr>
              <w:jc w:val="center"/>
              <w:rPr>
                <w:rFonts w:hint="default" w:ascii="Arial" w:eastAsia="宋体"/>
                <w:color w:val="auto"/>
                <w:sz w:val="21"/>
                <w:lang w:val="en-US" w:eastAsia="zh-CN"/>
              </w:rPr>
            </w:pPr>
            <w:r>
              <w:rPr>
                <w:rFonts w:hint="eastAsia" w:ascii="Arial" w:eastAsia="宋体"/>
                <w:color w:val="auto"/>
                <w:sz w:val="21"/>
                <w:lang w:val="en-US" w:eastAsia="zh-CN"/>
              </w:rPr>
              <w:t>36</w:t>
            </w:r>
          </w:p>
        </w:tc>
        <w:tc>
          <w:tcPr>
            <w:tcW w:w="1371" w:type="dxa"/>
            <w:noWrap w:val="0"/>
            <w:vAlign w:val="center"/>
          </w:tcPr>
          <w:p w14:paraId="5ACDFBEB">
            <w:pPr>
              <w:jc w:val="center"/>
              <w:rPr>
                <w:rFonts w:hint="default" w:ascii="Arial" w:eastAsia="宋体"/>
                <w:color w:val="auto"/>
                <w:sz w:val="21"/>
                <w:lang w:val="en-US" w:eastAsia="zh-CN"/>
              </w:rPr>
            </w:pPr>
            <w:r>
              <w:rPr>
                <w:rFonts w:hint="eastAsia" w:ascii="Arial"/>
                <w:color w:val="auto"/>
                <w:sz w:val="21"/>
                <w:lang w:val="en-US" w:eastAsia="zh-CN"/>
              </w:rPr>
              <w:t>100%</w:t>
            </w:r>
          </w:p>
        </w:tc>
        <w:tc>
          <w:tcPr>
            <w:tcW w:w="2202" w:type="dxa"/>
            <w:gridSpan w:val="3"/>
            <w:noWrap w:val="0"/>
            <w:vAlign w:val="center"/>
          </w:tcPr>
          <w:p w14:paraId="21D134DD">
            <w:pPr>
              <w:jc w:val="center"/>
              <w:rPr>
                <w:rFonts w:hint="default" w:ascii="Arial" w:eastAsia="宋体"/>
                <w:color w:val="auto"/>
                <w:sz w:val="21"/>
                <w:lang w:val="en-US" w:eastAsia="zh-CN"/>
              </w:rPr>
            </w:pPr>
            <w:r>
              <w:rPr>
                <w:rFonts w:hint="eastAsia" w:ascii="Arial"/>
                <w:color w:val="auto"/>
                <w:sz w:val="21"/>
                <w:lang w:val="en-US" w:eastAsia="zh-CN"/>
              </w:rPr>
              <w:t>20</w:t>
            </w:r>
          </w:p>
        </w:tc>
      </w:tr>
      <w:tr w14:paraId="5D73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noWrap w:val="0"/>
            <w:vAlign w:val="top"/>
          </w:tcPr>
          <w:p w14:paraId="11F49251">
            <w:pPr>
              <w:spacing w:line="269" w:lineRule="auto"/>
              <w:rPr>
                <w:rFonts w:ascii="Arial"/>
                <w:sz w:val="21"/>
              </w:rPr>
            </w:pPr>
          </w:p>
          <w:p w14:paraId="469DFE44">
            <w:pPr>
              <w:spacing w:line="269" w:lineRule="auto"/>
              <w:rPr>
                <w:rFonts w:ascii="Arial"/>
                <w:sz w:val="21"/>
              </w:rPr>
            </w:pPr>
          </w:p>
          <w:p w14:paraId="7CF4C185">
            <w:pPr>
              <w:spacing w:line="269" w:lineRule="auto"/>
              <w:rPr>
                <w:rFonts w:ascii="Arial"/>
                <w:sz w:val="21"/>
              </w:rPr>
            </w:pPr>
          </w:p>
          <w:p w14:paraId="3409D9C5">
            <w:pPr>
              <w:spacing w:line="270" w:lineRule="auto"/>
              <w:rPr>
                <w:rFonts w:ascii="Arial"/>
                <w:sz w:val="21"/>
              </w:rPr>
            </w:pPr>
          </w:p>
          <w:p w14:paraId="3AD690F7">
            <w:pPr>
              <w:spacing w:line="270" w:lineRule="auto"/>
              <w:rPr>
                <w:rFonts w:ascii="Arial"/>
                <w:sz w:val="21"/>
              </w:rPr>
            </w:pPr>
          </w:p>
          <w:p w14:paraId="37800C9E">
            <w:pPr>
              <w:spacing w:line="270" w:lineRule="auto"/>
              <w:rPr>
                <w:rFonts w:ascii="Arial"/>
                <w:sz w:val="21"/>
              </w:rPr>
            </w:pPr>
          </w:p>
          <w:p w14:paraId="2A2D6F2A">
            <w:pPr>
              <w:spacing w:line="270" w:lineRule="auto"/>
              <w:rPr>
                <w:rFonts w:ascii="Arial"/>
                <w:sz w:val="21"/>
              </w:rPr>
            </w:pPr>
          </w:p>
          <w:p w14:paraId="2D567DC4">
            <w:pPr>
              <w:jc w:val="center"/>
              <w:rPr>
                <w:b/>
                <w:bCs/>
              </w:rPr>
            </w:pPr>
          </w:p>
          <w:p w14:paraId="003F42FF">
            <w:pPr>
              <w:jc w:val="center"/>
              <w:rPr>
                <w:b/>
                <w:bCs/>
              </w:rPr>
            </w:pPr>
            <w:r>
              <w:rPr>
                <w:b/>
                <w:bCs/>
              </w:rPr>
              <w:t>年</w:t>
            </w:r>
          </w:p>
          <w:p w14:paraId="5203980D">
            <w:pPr>
              <w:jc w:val="center"/>
              <w:rPr>
                <w:b/>
                <w:bCs/>
              </w:rPr>
            </w:pPr>
            <w:r>
              <w:rPr>
                <w:b/>
                <w:bCs/>
              </w:rPr>
              <w:t>度</w:t>
            </w:r>
          </w:p>
          <w:p w14:paraId="665E5AE0">
            <w:pPr>
              <w:jc w:val="center"/>
              <w:rPr>
                <w:b/>
                <w:bCs/>
              </w:rPr>
            </w:pPr>
            <w:r>
              <w:rPr>
                <w:b/>
                <w:bCs/>
              </w:rPr>
              <w:t>绩</w:t>
            </w:r>
          </w:p>
          <w:p w14:paraId="3663C75D">
            <w:pPr>
              <w:jc w:val="center"/>
              <w:rPr>
                <w:b/>
                <w:bCs/>
              </w:rPr>
            </w:pPr>
            <w:r>
              <w:rPr>
                <w:b/>
                <w:bCs/>
              </w:rPr>
              <w:t>效</w:t>
            </w:r>
          </w:p>
          <w:p w14:paraId="26EB5E8A">
            <w:pPr>
              <w:jc w:val="center"/>
              <w:rPr>
                <w:b/>
                <w:bCs/>
              </w:rPr>
            </w:pPr>
            <w:r>
              <w:rPr>
                <w:b/>
                <w:bCs/>
              </w:rPr>
              <w:t>目</w:t>
            </w:r>
          </w:p>
          <w:p w14:paraId="6C47C98B">
            <w:pPr>
              <w:jc w:val="center"/>
              <w:rPr>
                <w:b/>
                <w:bCs/>
              </w:rPr>
            </w:pPr>
            <w:r>
              <w:rPr>
                <w:b/>
                <w:bCs/>
              </w:rPr>
              <w:t>标</w:t>
            </w:r>
          </w:p>
          <w:p w14:paraId="25621E5C">
            <w:pPr>
              <w:jc w:val="center"/>
              <w:rPr>
                <w:b/>
                <w:bCs/>
              </w:rPr>
            </w:pPr>
            <w:r>
              <w:rPr>
                <w:b/>
                <w:bCs/>
              </w:rPr>
              <w:t>1</w:t>
            </w:r>
          </w:p>
          <w:p w14:paraId="27E8DD1B">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19A4494E">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noWrap w:val="0"/>
            <w:vAlign w:val="top"/>
          </w:tcPr>
          <w:p w14:paraId="14D39640">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734" w:type="dxa"/>
            <w:gridSpan w:val="3"/>
            <w:noWrap w:val="0"/>
            <w:vAlign w:val="top"/>
          </w:tcPr>
          <w:p w14:paraId="316BF35B">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371" w:type="dxa"/>
            <w:noWrap w:val="0"/>
            <w:vAlign w:val="top"/>
          </w:tcPr>
          <w:p w14:paraId="5B8F1162">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1485DFC9">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5ABB52E4">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2709793B">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5B1C9F60">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0EBEC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noWrap w:val="0"/>
            <w:vAlign w:val="top"/>
          </w:tcPr>
          <w:p w14:paraId="1AA25419">
            <w:pPr>
              <w:rPr>
                <w:rFonts w:ascii="Arial"/>
                <w:sz w:val="21"/>
              </w:rPr>
            </w:pPr>
          </w:p>
        </w:tc>
        <w:tc>
          <w:tcPr>
            <w:tcW w:w="689" w:type="dxa"/>
            <w:vMerge w:val="restart"/>
            <w:tcBorders>
              <w:bottom w:val="nil"/>
            </w:tcBorders>
            <w:noWrap w:val="0"/>
            <w:vAlign w:val="center"/>
          </w:tcPr>
          <w:p w14:paraId="5D4CF54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出</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6734476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（40分）</w:t>
            </w:r>
          </w:p>
        </w:tc>
        <w:tc>
          <w:tcPr>
            <w:tcW w:w="1119" w:type="dxa"/>
            <w:vMerge w:val="restart"/>
            <w:noWrap w:val="0"/>
            <w:vAlign w:val="center"/>
          </w:tcPr>
          <w:p w14:paraId="1EEE267C">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数量指标</w:t>
            </w:r>
          </w:p>
        </w:tc>
        <w:tc>
          <w:tcPr>
            <w:tcW w:w="2734" w:type="dxa"/>
            <w:gridSpan w:val="3"/>
            <w:noWrap w:val="0"/>
            <w:vAlign w:val="center"/>
          </w:tcPr>
          <w:p w14:paraId="392A82B6">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“四上”企业</w:t>
            </w:r>
          </w:p>
        </w:tc>
        <w:tc>
          <w:tcPr>
            <w:tcW w:w="1371" w:type="dxa"/>
            <w:noWrap w:val="0"/>
            <w:vAlign w:val="center"/>
          </w:tcPr>
          <w:p w14:paraId="20655818">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220户</w:t>
            </w:r>
          </w:p>
        </w:tc>
        <w:tc>
          <w:tcPr>
            <w:tcW w:w="1318" w:type="dxa"/>
            <w:gridSpan w:val="2"/>
            <w:noWrap w:val="0"/>
            <w:vAlign w:val="center"/>
          </w:tcPr>
          <w:p w14:paraId="25ACCC9F">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220户</w:t>
            </w:r>
          </w:p>
        </w:tc>
        <w:tc>
          <w:tcPr>
            <w:tcW w:w="884" w:type="dxa"/>
            <w:noWrap w:val="0"/>
            <w:vAlign w:val="center"/>
          </w:tcPr>
          <w:p w14:paraId="722A60A3">
            <w:pPr>
              <w:jc w:val="both"/>
              <w:rPr>
                <w:rFonts w:hint="eastAsia" w:ascii="Arial" w:eastAsia="宋体"/>
                <w:sz w:val="21"/>
                <w:lang w:val="en-US" w:eastAsia="zh-CN"/>
              </w:rPr>
            </w:pPr>
            <w:r>
              <w:rPr>
                <w:rFonts w:hint="eastAsia" w:ascii="Arial"/>
                <w:sz w:val="21"/>
                <w:lang w:val="en-US" w:eastAsia="zh-CN"/>
              </w:rPr>
              <w:t>5分</w:t>
            </w:r>
          </w:p>
        </w:tc>
      </w:tr>
      <w:tr w14:paraId="1D4F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588816BB">
            <w:pPr>
              <w:rPr>
                <w:rFonts w:ascii="Arial"/>
                <w:sz w:val="21"/>
              </w:rPr>
            </w:pPr>
          </w:p>
        </w:tc>
        <w:tc>
          <w:tcPr>
            <w:tcW w:w="689" w:type="dxa"/>
            <w:vMerge w:val="continue"/>
            <w:tcBorders>
              <w:top w:val="nil"/>
              <w:bottom w:val="nil"/>
            </w:tcBorders>
            <w:noWrap w:val="0"/>
            <w:vAlign w:val="center"/>
          </w:tcPr>
          <w:p w14:paraId="126DBE2F">
            <w:pPr>
              <w:jc w:val="center"/>
              <w:rPr>
                <w:b/>
                <w:bCs/>
              </w:rPr>
            </w:pPr>
          </w:p>
        </w:tc>
        <w:tc>
          <w:tcPr>
            <w:tcW w:w="1119" w:type="dxa"/>
            <w:vMerge w:val="continue"/>
            <w:noWrap w:val="0"/>
            <w:vAlign w:val="center"/>
          </w:tcPr>
          <w:p w14:paraId="20C171F0">
            <w:pPr>
              <w:jc w:val="center"/>
              <w:rPr>
                <w:rFonts w:ascii="Arial"/>
                <w:sz w:val="21"/>
              </w:rPr>
            </w:pPr>
          </w:p>
        </w:tc>
        <w:tc>
          <w:tcPr>
            <w:tcW w:w="2734" w:type="dxa"/>
            <w:gridSpan w:val="3"/>
            <w:noWrap w:val="0"/>
            <w:vAlign w:val="center"/>
          </w:tcPr>
          <w:p w14:paraId="3B192652">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城乡一体化住户电子记帐户</w:t>
            </w:r>
          </w:p>
        </w:tc>
        <w:tc>
          <w:tcPr>
            <w:tcW w:w="1371" w:type="dxa"/>
            <w:noWrap w:val="0"/>
            <w:vAlign w:val="center"/>
          </w:tcPr>
          <w:p w14:paraId="5F438CD4">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50户</w:t>
            </w:r>
          </w:p>
        </w:tc>
        <w:tc>
          <w:tcPr>
            <w:tcW w:w="1318" w:type="dxa"/>
            <w:gridSpan w:val="2"/>
            <w:noWrap w:val="0"/>
            <w:vAlign w:val="center"/>
          </w:tcPr>
          <w:p w14:paraId="28224608">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50户</w:t>
            </w:r>
          </w:p>
        </w:tc>
        <w:tc>
          <w:tcPr>
            <w:tcW w:w="884" w:type="dxa"/>
            <w:noWrap w:val="0"/>
            <w:vAlign w:val="center"/>
          </w:tcPr>
          <w:p w14:paraId="201CB834">
            <w:pPr>
              <w:jc w:val="both"/>
              <w:rPr>
                <w:rFonts w:ascii="Arial"/>
                <w:sz w:val="21"/>
              </w:rPr>
            </w:pPr>
            <w:r>
              <w:rPr>
                <w:rFonts w:hint="eastAsia" w:ascii="Arial"/>
                <w:sz w:val="21"/>
                <w:lang w:val="en-US" w:eastAsia="zh-CN"/>
              </w:rPr>
              <w:t>5分</w:t>
            </w:r>
          </w:p>
        </w:tc>
      </w:tr>
      <w:tr w14:paraId="00DA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0A144E12">
            <w:pPr>
              <w:rPr>
                <w:rFonts w:ascii="Arial"/>
                <w:sz w:val="21"/>
              </w:rPr>
            </w:pPr>
          </w:p>
        </w:tc>
        <w:tc>
          <w:tcPr>
            <w:tcW w:w="689" w:type="dxa"/>
            <w:vMerge w:val="continue"/>
            <w:tcBorders>
              <w:top w:val="nil"/>
              <w:bottom w:val="nil"/>
            </w:tcBorders>
            <w:noWrap w:val="0"/>
            <w:vAlign w:val="center"/>
          </w:tcPr>
          <w:p w14:paraId="6E9A8DE6">
            <w:pPr>
              <w:jc w:val="center"/>
              <w:rPr>
                <w:b/>
                <w:bCs/>
              </w:rPr>
            </w:pPr>
          </w:p>
        </w:tc>
        <w:tc>
          <w:tcPr>
            <w:tcW w:w="1119" w:type="dxa"/>
            <w:vMerge w:val="continue"/>
            <w:noWrap w:val="0"/>
            <w:vAlign w:val="center"/>
          </w:tcPr>
          <w:p w14:paraId="7AEAAC15">
            <w:pPr>
              <w:jc w:val="center"/>
              <w:rPr>
                <w:rFonts w:ascii="宋体" w:hAnsi="宋体" w:eastAsia="宋体" w:cs="宋体"/>
                <w:sz w:val="22"/>
                <w:szCs w:val="22"/>
              </w:rPr>
            </w:pPr>
          </w:p>
        </w:tc>
        <w:tc>
          <w:tcPr>
            <w:tcW w:w="2734" w:type="dxa"/>
            <w:gridSpan w:val="3"/>
            <w:noWrap w:val="0"/>
            <w:vAlign w:val="center"/>
          </w:tcPr>
          <w:p w14:paraId="1E89A211">
            <w:pPr>
              <w:jc w:val="left"/>
              <w:rPr>
                <w:rFonts w:ascii="Arial"/>
                <w:sz w:val="21"/>
              </w:rPr>
            </w:pPr>
          </w:p>
        </w:tc>
        <w:tc>
          <w:tcPr>
            <w:tcW w:w="1371" w:type="dxa"/>
            <w:noWrap w:val="0"/>
            <w:vAlign w:val="center"/>
          </w:tcPr>
          <w:p w14:paraId="15F1C3B2">
            <w:pPr>
              <w:rPr>
                <w:rFonts w:ascii="Arial"/>
                <w:sz w:val="21"/>
              </w:rPr>
            </w:pPr>
          </w:p>
        </w:tc>
        <w:tc>
          <w:tcPr>
            <w:tcW w:w="1318" w:type="dxa"/>
            <w:gridSpan w:val="2"/>
            <w:noWrap w:val="0"/>
            <w:vAlign w:val="center"/>
          </w:tcPr>
          <w:p w14:paraId="3F1E953E">
            <w:pPr>
              <w:jc w:val="both"/>
              <w:rPr>
                <w:rFonts w:ascii="Arial"/>
                <w:kern w:val="2"/>
                <w:sz w:val="21"/>
                <w:lang w:val="en-US" w:eastAsia="zh-CN" w:bidi="ar-SA"/>
              </w:rPr>
            </w:pPr>
          </w:p>
        </w:tc>
        <w:tc>
          <w:tcPr>
            <w:tcW w:w="884" w:type="dxa"/>
            <w:noWrap w:val="0"/>
            <w:vAlign w:val="center"/>
          </w:tcPr>
          <w:p w14:paraId="20580F25">
            <w:pPr>
              <w:jc w:val="both"/>
              <w:rPr>
                <w:rFonts w:ascii="Arial"/>
                <w:sz w:val="21"/>
              </w:rPr>
            </w:pPr>
          </w:p>
        </w:tc>
      </w:tr>
      <w:tr w14:paraId="74BF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44F655A2">
            <w:pPr>
              <w:rPr>
                <w:rFonts w:ascii="Arial"/>
                <w:sz w:val="21"/>
              </w:rPr>
            </w:pPr>
          </w:p>
        </w:tc>
        <w:tc>
          <w:tcPr>
            <w:tcW w:w="689" w:type="dxa"/>
            <w:vMerge w:val="continue"/>
            <w:tcBorders>
              <w:top w:val="nil"/>
            </w:tcBorders>
            <w:noWrap w:val="0"/>
            <w:vAlign w:val="center"/>
          </w:tcPr>
          <w:p w14:paraId="3A0CB71C">
            <w:pPr>
              <w:jc w:val="center"/>
              <w:rPr>
                <w:b/>
                <w:bCs/>
              </w:rPr>
            </w:pPr>
          </w:p>
        </w:tc>
        <w:tc>
          <w:tcPr>
            <w:tcW w:w="1119" w:type="dxa"/>
            <w:vMerge w:val="restart"/>
            <w:noWrap w:val="0"/>
            <w:vAlign w:val="center"/>
          </w:tcPr>
          <w:p w14:paraId="7480A93A">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质量指标</w:t>
            </w:r>
          </w:p>
        </w:tc>
        <w:tc>
          <w:tcPr>
            <w:tcW w:w="2734" w:type="dxa"/>
            <w:gridSpan w:val="3"/>
            <w:noWrap w:val="0"/>
            <w:vAlign w:val="center"/>
          </w:tcPr>
          <w:p w14:paraId="1BB74CEC">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准确率</w:t>
            </w:r>
          </w:p>
        </w:tc>
        <w:tc>
          <w:tcPr>
            <w:tcW w:w="1371" w:type="dxa"/>
            <w:noWrap w:val="0"/>
            <w:vAlign w:val="center"/>
          </w:tcPr>
          <w:p w14:paraId="31431306">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4"/>
                <w:szCs w:val="24"/>
                <w:u w:val="none"/>
                <w:lang w:val="en-US" w:eastAsia="zh-CN" w:bidi="ar"/>
              </w:rPr>
              <w:t>95%以上</w:t>
            </w:r>
          </w:p>
        </w:tc>
        <w:tc>
          <w:tcPr>
            <w:tcW w:w="1318" w:type="dxa"/>
            <w:gridSpan w:val="2"/>
            <w:noWrap w:val="0"/>
            <w:vAlign w:val="center"/>
          </w:tcPr>
          <w:p w14:paraId="67808024">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4"/>
                <w:szCs w:val="24"/>
                <w:u w:val="none"/>
                <w:lang w:val="en-US" w:eastAsia="zh-CN" w:bidi="ar"/>
              </w:rPr>
              <w:t>95%以上</w:t>
            </w:r>
          </w:p>
        </w:tc>
        <w:tc>
          <w:tcPr>
            <w:tcW w:w="884" w:type="dxa"/>
            <w:noWrap w:val="0"/>
            <w:vAlign w:val="center"/>
          </w:tcPr>
          <w:p w14:paraId="38A6E5D5">
            <w:pPr>
              <w:jc w:val="both"/>
              <w:rPr>
                <w:rFonts w:ascii="Arial"/>
                <w:sz w:val="21"/>
              </w:rPr>
            </w:pPr>
            <w:r>
              <w:rPr>
                <w:rFonts w:hint="eastAsia" w:ascii="Arial"/>
                <w:sz w:val="21"/>
                <w:lang w:val="en-US" w:eastAsia="zh-CN"/>
              </w:rPr>
              <w:t>10分</w:t>
            </w:r>
          </w:p>
        </w:tc>
      </w:tr>
      <w:tr w14:paraId="0169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noWrap w:val="0"/>
            <w:vAlign w:val="top"/>
          </w:tcPr>
          <w:p w14:paraId="7EC14A0D">
            <w:pPr>
              <w:rPr>
                <w:rFonts w:ascii="Arial"/>
                <w:sz w:val="21"/>
              </w:rPr>
            </w:pPr>
          </w:p>
        </w:tc>
        <w:tc>
          <w:tcPr>
            <w:tcW w:w="689" w:type="dxa"/>
            <w:vMerge w:val="continue"/>
            <w:tcBorders>
              <w:bottom w:val="nil"/>
            </w:tcBorders>
            <w:noWrap w:val="0"/>
            <w:vAlign w:val="center"/>
          </w:tcPr>
          <w:p w14:paraId="027B976F">
            <w:pPr>
              <w:jc w:val="center"/>
              <w:rPr>
                <w:rFonts w:ascii="Calibri" w:hAnsi="Calibri" w:eastAsia="宋体" w:cs="Times New Roman"/>
                <w:b/>
                <w:bCs/>
              </w:rPr>
            </w:pPr>
          </w:p>
        </w:tc>
        <w:tc>
          <w:tcPr>
            <w:tcW w:w="1119" w:type="dxa"/>
            <w:vMerge w:val="continue"/>
            <w:noWrap w:val="0"/>
            <w:vAlign w:val="center"/>
          </w:tcPr>
          <w:p w14:paraId="3D39720E">
            <w:pPr>
              <w:jc w:val="center"/>
              <w:rPr>
                <w:rFonts w:ascii="宋体" w:hAnsi="宋体" w:eastAsia="宋体" w:cs="宋体"/>
                <w:sz w:val="11"/>
                <w:szCs w:val="11"/>
              </w:rPr>
            </w:pPr>
          </w:p>
        </w:tc>
        <w:tc>
          <w:tcPr>
            <w:tcW w:w="2734" w:type="dxa"/>
            <w:gridSpan w:val="3"/>
            <w:noWrap w:val="0"/>
            <w:vAlign w:val="center"/>
          </w:tcPr>
          <w:p w14:paraId="3098C7D6">
            <w:pPr>
              <w:jc w:val="left"/>
              <w:rPr>
                <w:rFonts w:ascii="Arial"/>
                <w:sz w:val="21"/>
              </w:rPr>
            </w:pPr>
          </w:p>
        </w:tc>
        <w:tc>
          <w:tcPr>
            <w:tcW w:w="1371" w:type="dxa"/>
            <w:noWrap w:val="0"/>
            <w:vAlign w:val="center"/>
          </w:tcPr>
          <w:p w14:paraId="08FD9765">
            <w:pPr>
              <w:jc w:val="left"/>
              <w:rPr>
                <w:rFonts w:ascii="Arial"/>
                <w:sz w:val="21"/>
              </w:rPr>
            </w:pPr>
          </w:p>
        </w:tc>
        <w:tc>
          <w:tcPr>
            <w:tcW w:w="1318" w:type="dxa"/>
            <w:gridSpan w:val="2"/>
            <w:noWrap w:val="0"/>
            <w:vAlign w:val="center"/>
          </w:tcPr>
          <w:p w14:paraId="242F8C85">
            <w:pPr>
              <w:jc w:val="both"/>
              <w:rPr>
                <w:rFonts w:ascii="Arial"/>
                <w:kern w:val="2"/>
                <w:sz w:val="21"/>
                <w:lang w:val="en-US" w:eastAsia="zh-CN" w:bidi="ar-SA"/>
              </w:rPr>
            </w:pPr>
          </w:p>
        </w:tc>
        <w:tc>
          <w:tcPr>
            <w:tcW w:w="884" w:type="dxa"/>
            <w:noWrap w:val="0"/>
            <w:vAlign w:val="center"/>
          </w:tcPr>
          <w:p w14:paraId="7F4FBEE6">
            <w:pPr>
              <w:jc w:val="both"/>
              <w:rPr>
                <w:rFonts w:ascii="Arial"/>
                <w:sz w:val="21"/>
              </w:rPr>
            </w:pPr>
          </w:p>
        </w:tc>
      </w:tr>
      <w:tr w14:paraId="5729E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048E39AC">
            <w:pPr>
              <w:rPr>
                <w:rFonts w:ascii="Arial"/>
                <w:sz w:val="21"/>
              </w:rPr>
            </w:pPr>
          </w:p>
        </w:tc>
        <w:tc>
          <w:tcPr>
            <w:tcW w:w="689" w:type="dxa"/>
            <w:vMerge w:val="continue"/>
            <w:tcBorders>
              <w:top w:val="nil"/>
              <w:bottom w:val="nil"/>
            </w:tcBorders>
            <w:noWrap w:val="0"/>
            <w:vAlign w:val="center"/>
          </w:tcPr>
          <w:p w14:paraId="280F0B6A">
            <w:pPr>
              <w:jc w:val="center"/>
              <w:rPr>
                <w:rFonts w:ascii="Calibri" w:hAnsi="Calibri" w:eastAsia="宋体" w:cs="Times New Roman"/>
                <w:b/>
                <w:bCs/>
              </w:rPr>
            </w:pPr>
          </w:p>
        </w:tc>
        <w:tc>
          <w:tcPr>
            <w:tcW w:w="1119" w:type="dxa"/>
            <w:vMerge w:val="continue"/>
            <w:noWrap w:val="0"/>
            <w:vAlign w:val="center"/>
          </w:tcPr>
          <w:p w14:paraId="57EAE3A3">
            <w:pPr>
              <w:jc w:val="center"/>
              <w:rPr>
                <w:rFonts w:ascii="宋体" w:hAnsi="宋体" w:eastAsia="宋体" w:cs="宋体"/>
                <w:sz w:val="22"/>
                <w:szCs w:val="22"/>
              </w:rPr>
            </w:pPr>
          </w:p>
        </w:tc>
        <w:tc>
          <w:tcPr>
            <w:tcW w:w="2734" w:type="dxa"/>
            <w:gridSpan w:val="3"/>
            <w:noWrap w:val="0"/>
            <w:vAlign w:val="center"/>
          </w:tcPr>
          <w:p w14:paraId="7209E9C1">
            <w:pPr>
              <w:jc w:val="left"/>
              <w:rPr>
                <w:rFonts w:ascii="Arial"/>
                <w:sz w:val="21"/>
              </w:rPr>
            </w:pPr>
          </w:p>
        </w:tc>
        <w:tc>
          <w:tcPr>
            <w:tcW w:w="1371" w:type="dxa"/>
            <w:noWrap w:val="0"/>
            <w:vAlign w:val="center"/>
          </w:tcPr>
          <w:p w14:paraId="4C3D416A">
            <w:pPr>
              <w:rPr>
                <w:rFonts w:ascii="Arial"/>
                <w:sz w:val="21"/>
              </w:rPr>
            </w:pPr>
          </w:p>
        </w:tc>
        <w:tc>
          <w:tcPr>
            <w:tcW w:w="1318" w:type="dxa"/>
            <w:gridSpan w:val="2"/>
            <w:noWrap w:val="0"/>
            <w:vAlign w:val="center"/>
          </w:tcPr>
          <w:p w14:paraId="5130E946">
            <w:pPr>
              <w:jc w:val="both"/>
              <w:rPr>
                <w:rFonts w:ascii="Arial"/>
                <w:kern w:val="2"/>
                <w:sz w:val="21"/>
                <w:lang w:val="en-US" w:eastAsia="zh-CN" w:bidi="ar-SA"/>
              </w:rPr>
            </w:pPr>
          </w:p>
        </w:tc>
        <w:tc>
          <w:tcPr>
            <w:tcW w:w="884" w:type="dxa"/>
            <w:noWrap w:val="0"/>
            <w:vAlign w:val="center"/>
          </w:tcPr>
          <w:p w14:paraId="5E396D19">
            <w:pPr>
              <w:jc w:val="both"/>
              <w:rPr>
                <w:rFonts w:ascii="Arial"/>
                <w:sz w:val="21"/>
              </w:rPr>
            </w:pPr>
          </w:p>
        </w:tc>
      </w:tr>
      <w:tr w14:paraId="0614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5287DE8A">
            <w:pPr>
              <w:rPr>
                <w:rFonts w:ascii="Arial"/>
                <w:sz w:val="21"/>
              </w:rPr>
            </w:pPr>
          </w:p>
        </w:tc>
        <w:tc>
          <w:tcPr>
            <w:tcW w:w="689" w:type="dxa"/>
            <w:vMerge w:val="continue"/>
            <w:tcBorders>
              <w:top w:val="nil"/>
              <w:bottom w:val="nil"/>
            </w:tcBorders>
            <w:noWrap w:val="0"/>
            <w:vAlign w:val="center"/>
          </w:tcPr>
          <w:p w14:paraId="125CA809">
            <w:pPr>
              <w:jc w:val="center"/>
              <w:rPr>
                <w:rFonts w:ascii="Calibri" w:hAnsi="Calibri" w:eastAsia="宋体" w:cs="Times New Roman"/>
                <w:b/>
                <w:bCs/>
              </w:rPr>
            </w:pPr>
          </w:p>
        </w:tc>
        <w:tc>
          <w:tcPr>
            <w:tcW w:w="1119" w:type="dxa"/>
            <w:vMerge w:val="restart"/>
            <w:noWrap w:val="0"/>
            <w:vAlign w:val="center"/>
          </w:tcPr>
          <w:p w14:paraId="7889AB15">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时效指标</w:t>
            </w:r>
          </w:p>
        </w:tc>
        <w:tc>
          <w:tcPr>
            <w:tcW w:w="2734" w:type="dxa"/>
            <w:gridSpan w:val="3"/>
            <w:noWrap w:val="0"/>
            <w:vAlign w:val="center"/>
          </w:tcPr>
          <w:p w14:paraId="3D2BFA7E">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覆盖率</w:t>
            </w:r>
          </w:p>
        </w:tc>
        <w:tc>
          <w:tcPr>
            <w:tcW w:w="1371" w:type="dxa"/>
            <w:noWrap w:val="0"/>
            <w:vAlign w:val="center"/>
          </w:tcPr>
          <w:p w14:paraId="44170352">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47310683">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E9B1147">
            <w:pPr>
              <w:jc w:val="both"/>
              <w:rPr>
                <w:rFonts w:ascii="Arial"/>
                <w:sz w:val="21"/>
              </w:rPr>
            </w:pPr>
            <w:r>
              <w:rPr>
                <w:rFonts w:hint="eastAsia" w:ascii="Arial"/>
                <w:sz w:val="21"/>
                <w:lang w:val="en-US" w:eastAsia="zh-CN"/>
              </w:rPr>
              <w:t>10分</w:t>
            </w:r>
          </w:p>
        </w:tc>
      </w:tr>
      <w:tr w14:paraId="09CA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46A78733">
            <w:pPr>
              <w:rPr>
                <w:rFonts w:ascii="Arial"/>
                <w:sz w:val="21"/>
              </w:rPr>
            </w:pPr>
          </w:p>
        </w:tc>
        <w:tc>
          <w:tcPr>
            <w:tcW w:w="689" w:type="dxa"/>
            <w:vMerge w:val="continue"/>
            <w:tcBorders>
              <w:top w:val="nil"/>
            </w:tcBorders>
            <w:noWrap w:val="0"/>
            <w:vAlign w:val="center"/>
          </w:tcPr>
          <w:p w14:paraId="1EA6D577">
            <w:pPr>
              <w:jc w:val="center"/>
              <w:rPr>
                <w:rFonts w:ascii="Calibri" w:hAnsi="Calibri" w:eastAsia="宋体" w:cs="Times New Roman"/>
                <w:b/>
                <w:bCs/>
              </w:rPr>
            </w:pPr>
          </w:p>
        </w:tc>
        <w:tc>
          <w:tcPr>
            <w:tcW w:w="1119" w:type="dxa"/>
            <w:vMerge w:val="continue"/>
            <w:noWrap w:val="0"/>
            <w:vAlign w:val="center"/>
          </w:tcPr>
          <w:p w14:paraId="4D863459">
            <w:pPr>
              <w:jc w:val="center"/>
              <w:rPr>
                <w:rFonts w:ascii="Arial"/>
                <w:sz w:val="21"/>
              </w:rPr>
            </w:pPr>
          </w:p>
        </w:tc>
        <w:tc>
          <w:tcPr>
            <w:tcW w:w="2734" w:type="dxa"/>
            <w:gridSpan w:val="3"/>
            <w:noWrap w:val="0"/>
            <w:vAlign w:val="center"/>
          </w:tcPr>
          <w:p w14:paraId="40E57375">
            <w:pPr>
              <w:jc w:val="left"/>
              <w:rPr>
                <w:rFonts w:ascii="Arial"/>
                <w:sz w:val="21"/>
              </w:rPr>
            </w:pPr>
          </w:p>
        </w:tc>
        <w:tc>
          <w:tcPr>
            <w:tcW w:w="1371" w:type="dxa"/>
            <w:noWrap w:val="0"/>
            <w:vAlign w:val="center"/>
          </w:tcPr>
          <w:p w14:paraId="637C2964">
            <w:pPr>
              <w:jc w:val="left"/>
              <w:rPr>
                <w:rFonts w:ascii="Arial"/>
                <w:sz w:val="21"/>
              </w:rPr>
            </w:pPr>
          </w:p>
        </w:tc>
        <w:tc>
          <w:tcPr>
            <w:tcW w:w="1318" w:type="dxa"/>
            <w:gridSpan w:val="2"/>
            <w:noWrap w:val="0"/>
            <w:vAlign w:val="center"/>
          </w:tcPr>
          <w:p w14:paraId="55B23414">
            <w:pPr>
              <w:jc w:val="both"/>
              <w:rPr>
                <w:rFonts w:ascii="Arial"/>
                <w:kern w:val="2"/>
                <w:sz w:val="21"/>
                <w:lang w:val="en-US" w:eastAsia="zh-CN" w:bidi="ar-SA"/>
              </w:rPr>
            </w:pPr>
          </w:p>
        </w:tc>
        <w:tc>
          <w:tcPr>
            <w:tcW w:w="884" w:type="dxa"/>
            <w:noWrap w:val="0"/>
            <w:vAlign w:val="center"/>
          </w:tcPr>
          <w:p w14:paraId="34BBDC2B">
            <w:pPr>
              <w:jc w:val="both"/>
              <w:rPr>
                <w:rFonts w:ascii="Arial"/>
                <w:sz w:val="21"/>
              </w:rPr>
            </w:pPr>
          </w:p>
        </w:tc>
      </w:tr>
      <w:tr w14:paraId="782C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216ED481">
            <w:pPr>
              <w:rPr>
                <w:rFonts w:ascii="Arial"/>
                <w:sz w:val="21"/>
              </w:rPr>
            </w:pPr>
          </w:p>
        </w:tc>
        <w:tc>
          <w:tcPr>
            <w:tcW w:w="689" w:type="dxa"/>
            <w:vMerge w:val="continue"/>
            <w:tcBorders>
              <w:bottom w:val="nil"/>
            </w:tcBorders>
            <w:noWrap w:val="0"/>
            <w:vAlign w:val="center"/>
          </w:tcPr>
          <w:p w14:paraId="16331344">
            <w:pPr>
              <w:jc w:val="center"/>
              <w:rPr>
                <w:rFonts w:ascii="Calibri" w:hAnsi="Calibri" w:eastAsia="宋体" w:cs="Times New Roman"/>
                <w:b/>
                <w:bCs/>
              </w:rPr>
            </w:pPr>
          </w:p>
        </w:tc>
        <w:tc>
          <w:tcPr>
            <w:tcW w:w="1119" w:type="dxa"/>
            <w:vMerge w:val="continue"/>
            <w:noWrap w:val="0"/>
            <w:vAlign w:val="center"/>
          </w:tcPr>
          <w:p w14:paraId="4DAB5C05">
            <w:pPr>
              <w:jc w:val="center"/>
              <w:rPr>
                <w:rFonts w:ascii="宋体" w:hAnsi="宋体" w:eastAsia="宋体" w:cs="宋体"/>
                <w:sz w:val="11"/>
                <w:szCs w:val="11"/>
              </w:rPr>
            </w:pPr>
          </w:p>
        </w:tc>
        <w:tc>
          <w:tcPr>
            <w:tcW w:w="2734" w:type="dxa"/>
            <w:gridSpan w:val="3"/>
            <w:noWrap w:val="0"/>
            <w:vAlign w:val="center"/>
          </w:tcPr>
          <w:p w14:paraId="6844B958">
            <w:pPr>
              <w:jc w:val="left"/>
              <w:rPr>
                <w:rFonts w:ascii="Arial"/>
                <w:sz w:val="21"/>
              </w:rPr>
            </w:pPr>
          </w:p>
        </w:tc>
        <w:tc>
          <w:tcPr>
            <w:tcW w:w="1371" w:type="dxa"/>
            <w:noWrap w:val="0"/>
            <w:vAlign w:val="center"/>
          </w:tcPr>
          <w:p w14:paraId="2985E501">
            <w:pPr>
              <w:jc w:val="left"/>
              <w:rPr>
                <w:rFonts w:ascii="Arial"/>
                <w:sz w:val="21"/>
              </w:rPr>
            </w:pPr>
          </w:p>
        </w:tc>
        <w:tc>
          <w:tcPr>
            <w:tcW w:w="1318" w:type="dxa"/>
            <w:gridSpan w:val="2"/>
            <w:noWrap w:val="0"/>
            <w:vAlign w:val="center"/>
          </w:tcPr>
          <w:p w14:paraId="01701931">
            <w:pPr>
              <w:jc w:val="both"/>
              <w:rPr>
                <w:rFonts w:ascii="Arial"/>
                <w:kern w:val="2"/>
                <w:sz w:val="21"/>
                <w:lang w:val="en-US" w:eastAsia="zh-CN" w:bidi="ar-SA"/>
              </w:rPr>
            </w:pPr>
          </w:p>
        </w:tc>
        <w:tc>
          <w:tcPr>
            <w:tcW w:w="884" w:type="dxa"/>
            <w:noWrap w:val="0"/>
            <w:vAlign w:val="center"/>
          </w:tcPr>
          <w:p w14:paraId="651D014D">
            <w:pPr>
              <w:jc w:val="both"/>
              <w:rPr>
                <w:rFonts w:ascii="Arial"/>
                <w:sz w:val="21"/>
              </w:rPr>
            </w:pPr>
          </w:p>
        </w:tc>
      </w:tr>
      <w:tr w14:paraId="4210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762A83CE">
            <w:pPr>
              <w:rPr>
                <w:rFonts w:ascii="Arial"/>
                <w:sz w:val="21"/>
              </w:rPr>
            </w:pPr>
          </w:p>
        </w:tc>
        <w:tc>
          <w:tcPr>
            <w:tcW w:w="689" w:type="dxa"/>
            <w:vMerge w:val="continue"/>
            <w:tcBorders>
              <w:top w:val="nil"/>
            </w:tcBorders>
            <w:noWrap w:val="0"/>
            <w:vAlign w:val="center"/>
          </w:tcPr>
          <w:p w14:paraId="59AA89C2">
            <w:pPr>
              <w:jc w:val="center"/>
              <w:rPr>
                <w:rFonts w:ascii="Arial"/>
                <w:b/>
                <w:bCs/>
                <w:sz w:val="21"/>
              </w:rPr>
            </w:pPr>
          </w:p>
        </w:tc>
        <w:tc>
          <w:tcPr>
            <w:tcW w:w="1119" w:type="dxa"/>
            <w:vMerge w:val="restart"/>
            <w:noWrap w:val="0"/>
            <w:vAlign w:val="center"/>
          </w:tcPr>
          <w:p w14:paraId="2578900B">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成本指标</w:t>
            </w:r>
          </w:p>
        </w:tc>
        <w:tc>
          <w:tcPr>
            <w:tcW w:w="2734" w:type="dxa"/>
            <w:gridSpan w:val="3"/>
            <w:noWrap w:val="0"/>
            <w:vAlign w:val="center"/>
          </w:tcPr>
          <w:p w14:paraId="6C7D7119">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控制在36万元以内</w:t>
            </w:r>
          </w:p>
        </w:tc>
        <w:tc>
          <w:tcPr>
            <w:tcW w:w="1371" w:type="dxa"/>
            <w:noWrap w:val="0"/>
            <w:vAlign w:val="center"/>
          </w:tcPr>
          <w:p w14:paraId="08ACE197">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36万元</w:t>
            </w:r>
          </w:p>
        </w:tc>
        <w:tc>
          <w:tcPr>
            <w:tcW w:w="1318" w:type="dxa"/>
            <w:gridSpan w:val="2"/>
            <w:noWrap w:val="0"/>
            <w:vAlign w:val="center"/>
          </w:tcPr>
          <w:p w14:paraId="28DE22A2">
            <w:pPr>
              <w:keepNext w:val="0"/>
              <w:keepLines w:val="0"/>
              <w:widowControl/>
              <w:suppressLineNumbers w:val="0"/>
              <w:jc w:val="both"/>
              <w:textAlignment w:val="center"/>
              <w:rPr>
                <w:rFonts w:ascii="Arial"/>
                <w:color w:val="auto"/>
                <w:kern w:val="2"/>
                <w:sz w:val="21"/>
                <w:lang w:val="en-US" w:eastAsia="zh-CN" w:bidi="ar-SA"/>
              </w:rPr>
            </w:pPr>
            <w:r>
              <w:rPr>
                <w:rFonts w:hint="eastAsia" w:ascii="仿宋" w:hAnsi="仿宋" w:eastAsia="仿宋" w:cs="仿宋"/>
                <w:i w:val="0"/>
                <w:iCs w:val="0"/>
                <w:color w:val="auto"/>
                <w:kern w:val="0"/>
                <w:sz w:val="22"/>
                <w:szCs w:val="22"/>
                <w:u w:val="none"/>
                <w:lang w:val="en-US" w:eastAsia="zh-CN" w:bidi="ar"/>
              </w:rPr>
              <w:t>36万元</w:t>
            </w:r>
          </w:p>
        </w:tc>
        <w:tc>
          <w:tcPr>
            <w:tcW w:w="884" w:type="dxa"/>
            <w:noWrap w:val="0"/>
            <w:vAlign w:val="center"/>
          </w:tcPr>
          <w:p w14:paraId="1B9EB433">
            <w:pPr>
              <w:jc w:val="both"/>
              <w:rPr>
                <w:rFonts w:ascii="Arial"/>
                <w:color w:val="auto"/>
                <w:sz w:val="21"/>
              </w:rPr>
            </w:pPr>
            <w:r>
              <w:rPr>
                <w:rFonts w:hint="eastAsia" w:ascii="Arial"/>
                <w:color w:val="auto"/>
                <w:sz w:val="21"/>
                <w:lang w:val="en-US" w:eastAsia="zh-CN"/>
              </w:rPr>
              <w:t>10分</w:t>
            </w:r>
          </w:p>
        </w:tc>
      </w:tr>
      <w:tr w14:paraId="04609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14" w:type="dxa"/>
            <w:vMerge w:val="continue"/>
            <w:noWrap w:val="0"/>
            <w:vAlign w:val="top"/>
          </w:tcPr>
          <w:p w14:paraId="235C237B">
            <w:pPr>
              <w:spacing w:before="58" w:line="223" w:lineRule="auto"/>
              <w:ind w:right="115"/>
              <w:jc w:val="center"/>
              <w:rPr>
                <w:rFonts w:ascii="宋体" w:hAnsi="宋体" w:eastAsia="宋体" w:cs="宋体"/>
                <w:sz w:val="21"/>
                <w:szCs w:val="21"/>
              </w:rPr>
            </w:pPr>
          </w:p>
        </w:tc>
        <w:tc>
          <w:tcPr>
            <w:tcW w:w="689" w:type="dxa"/>
            <w:vMerge w:val="continue"/>
            <w:noWrap w:val="0"/>
            <w:vAlign w:val="center"/>
          </w:tcPr>
          <w:p w14:paraId="6729797F">
            <w:pPr>
              <w:jc w:val="center"/>
              <w:rPr>
                <w:rFonts w:ascii="Arial"/>
                <w:b/>
                <w:bCs/>
                <w:sz w:val="21"/>
              </w:rPr>
            </w:pPr>
          </w:p>
        </w:tc>
        <w:tc>
          <w:tcPr>
            <w:tcW w:w="1119" w:type="dxa"/>
            <w:vMerge w:val="continue"/>
            <w:noWrap w:val="0"/>
            <w:vAlign w:val="center"/>
          </w:tcPr>
          <w:p w14:paraId="5C586611">
            <w:pPr>
              <w:jc w:val="center"/>
              <w:rPr>
                <w:rFonts w:ascii="Arial"/>
                <w:sz w:val="21"/>
              </w:rPr>
            </w:pPr>
          </w:p>
        </w:tc>
        <w:tc>
          <w:tcPr>
            <w:tcW w:w="2734" w:type="dxa"/>
            <w:gridSpan w:val="3"/>
            <w:noWrap w:val="0"/>
            <w:vAlign w:val="center"/>
          </w:tcPr>
          <w:p w14:paraId="51265A9A">
            <w:pPr>
              <w:jc w:val="left"/>
              <w:rPr>
                <w:rFonts w:ascii="Arial"/>
                <w:sz w:val="21"/>
              </w:rPr>
            </w:pPr>
          </w:p>
        </w:tc>
        <w:tc>
          <w:tcPr>
            <w:tcW w:w="1371" w:type="dxa"/>
            <w:noWrap w:val="0"/>
            <w:vAlign w:val="center"/>
          </w:tcPr>
          <w:p w14:paraId="3E3B8A0F">
            <w:pPr>
              <w:jc w:val="center"/>
              <w:rPr>
                <w:rFonts w:ascii="Arial"/>
                <w:sz w:val="21"/>
              </w:rPr>
            </w:pPr>
          </w:p>
        </w:tc>
        <w:tc>
          <w:tcPr>
            <w:tcW w:w="1318" w:type="dxa"/>
            <w:gridSpan w:val="2"/>
            <w:noWrap w:val="0"/>
            <w:vAlign w:val="center"/>
          </w:tcPr>
          <w:p w14:paraId="7FE758A3">
            <w:pPr>
              <w:jc w:val="both"/>
              <w:rPr>
                <w:rFonts w:ascii="Arial"/>
                <w:kern w:val="2"/>
                <w:sz w:val="21"/>
                <w:lang w:val="en-US" w:eastAsia="zh-CN" w:bidi="ar-SA"/>
              </w:rPr>
            </w:pPr>
          </w:p>
        </w:tc>
        <w:tc>
          <w:tcPr>
            <w:tcW w:w="884" w:type="dxa"/>
            <w:noWrap w:val="0"/>
            <w:vAlign w:val="center"/>
          </w:tcPr>
          <w:p w14:paraId="5F5278CD">
            <w:pPr>
              <w:jc w:val="both"/>
              <w:rPr>
                <w:rFonts w:ascii="Arial"/>
                <w:sz w:val="21"/>
              </w:rPr>
            </w:pPr>
          </w:p>
        </w:tc>
      </w:tr>
      <w:tr w14:paraId="3B55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43A8FF73">
            <w:pPr>
              <w:spacing w:before="181" w:line="339" w:lineRule="exact"/>
              <w:ind w:left="175"/>
              <w:rPr>
                <w:rFonts w:ascii="宋体" w:hAnsi="宋体" w:eastAsia="宋体" w:cs="宋体"/>
                <w:sz w:val="22"/>
                <w:szCs w:val="22"/>
              </w:rPr>
            </w:pPr>
          </w:p>
        </w:tc>
        <w:tc>
          <w:tcPr>
            <w:tcW w:w="689" w:type="dxa"/>
            <w:vMerge w:val="continue"/>
            <w:noWrap w:val="0"/>
            <w:vAlign w:val="center"/>
          </w:tcPr>
          <w:p w14:paraId="5D692D6D">
            <w:pPr>
              <w:jc w:val="center"/>
              <w:rPr>
                <w:rFonts w:ascii="Arial"/>
                <w:b/>
                <w:bCs/>
                <w:sz w:val="21"/>
              </w:rPr>
            </w:pPr>
          </w:p>
        </w:tc>
        <w:tc>
          <w:tcPr>
            <w:tcW w:w="1119" w:type="dxa"/>
            <w:vMerge w:val="continue"/>
            <w:noWrap w:val="0"/>
            <w:vAlign w:val="center"/>
          </w:tcPr>
          <w:p w14:paraId="676F9823">
            <w:pPr>
              <w:jc w:val="center"/>
              <w:rPr>
                <w:rFonts w:ascii="Arial"/>
                <w:sz w:val="21"/>
              </w:rPr>
            </w:pPr>
          </w:p>
        </w:tc>
        <w:tc>
          <w:tcPr>
            <w:tcW w:w="2734" w:type="dxa"/>
            <w:gridSpan w:val="3"/>
            <w:noWrap w:val="0"/>
            <w:vAlign w:val="center"/>
          </w:tcPr>
          <w:p w14:paraId="63F193FD">
            <w:pPr>
              <w:jc w:val="left"/>
              <w:rPr>
                <w:rFonts w:ascii="Arial"/>
                <w:sz w:val="21"/>
              </w:rPr>
            </w:pPr>
          </w:p>
        </w:tc>
        <w:tc>
          <w:tcPr>
            <w:tcW w:w="1371" w:type="dxa"/>
            <w:noWrap w:val="0"/>
            <w:vAlign w:val="center"/>
          </w:tcPr>
          <w:p w14:paraId="20EA0289">
            <w:pPr>
              <w:jc w:val="center"/>
              <w:rPr>
                <w:rFonts w:ascii="Arial"/>
                <w:sz w:val="21"/>
              </w:rPr>
            </w:pPr>
          </w:p>
        </w:tc>
        <w:tc>
          <w:tcPr>
            <w:tcW w:w="1318" w:type="dxa"/>
            <w:gridSpan w:val="2"/>
            <w:noWrap w:val="0"/>
            <w:vAlign w:val="center"/>
          </w:tcPr>
          <w:p w14:paraId="0D894F9D">
            <w:pPr>
              <w:jc w:val="both"/>
              <w:rPr>
                <w:rFonts w:ascii="Arial"/>
                <w:kern w:val="2"/>
                <w:sz w:val="21"/>
                <w:lang w:val="en-US" w:eastAsia="zh-CN" w:bidi="ar-SA"/>
              </w:rPr>
            </w:pPr>
          </w:p>
        </w:tc>
        <w:tc>
          <w:tcPr>
            <w:tcW w:w="884" w:type="dxa"/>
            <w:noWrap w:val="0"/>
            <w:vAlign w:val="center"/>
          </w:tcPr>
          <w:p w14:paraId="4DD61DEA">
            <w:pPr>
              <w:jc w:val="both"/>
              <w:rPr>
                <w:rFonts w:ascii="Arial"/>
                <w:sz w:val="21"/>
              </w:rPr>
            </w:pPr>
          </w:p>
        </w:tc>
      </w:tr>
      <w:tr w14:paraId="784DA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D78427B">
            <w:pPr>
              <w:spacing w:before="159" w:line="220" w:lineRule="auto"/>
              <w:ind w:left="175"/>
              <w:rPr>
                <w:rFonts w:ascii="宋体" w:hAnsi="宋体" w:eastAsia="宋体" w:cs="宋体"/>
                <w:sz w:val="22"/>
                <w:szCs w:val="22"/>
              </w:rPr>
            </w:pPr>
          </w:p>
        </w:tc>
        <w:tc>
          <w:tcPr>
            <w:tcW w:w="689" w:type="dxa"/>
            <w:vMerge w:val="restart"/>
            <w:noWrap w:val="0"/>
            <w:vAlign w:val="center"/>
          </w:tcPr>
          <w:p w14:paraId="7845155C">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7C6DD480">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4B2F0573">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159D6925">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效</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益</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61C9A58D">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（30分）</w:t>
            </w:r>
          </w:p>
        </w:tc>
        <w:tc>
          <w:tcPr>
            <w:tcW w:w="1119" w:type="dxa"/>
            <w:vMerge w:val="restart"/>
            <w:noWrap w:val="0"/>
            <w:vAlign w:val="center"/>
          </w:tcPr>
          <w:p w14:paraId="488C6F72">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经济效益指标</w:t>
            </w:r>
          </w:p>
        </w:tc>
        <w:tc>
          <w:tcPr>
            <w:tcW w:w="2734" w:type="dxa"/>
            <w:gridSpan w:val="3"/>
            <w:noWrap w:val="0"/>
            <w:vAlign w:val="center"/>
          </w:tcPr>
          <w:p w14:paraId="25754E47">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为GDP核算提供依据</w:t>
            </w:r>
          </w:p>
        </w:tc>
        <w:tc>
          <w:tcPr>
            <w:tcW w:w="1371" w:type="dxa"/>
            <w:noWrap w:val="0"/>
            <w:vAlign w:val="center"/>
          </w:tcPr>
          <w:p w14:paraId="5CEA6677">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615C35F8">
            <w:pPr>
              <w:keepNext w:val="0"/>
              <w:keepLines w:val="0"/>
              <w:widowControl/>
              <w:suppressLineNumbers w:val="0"/>
              <w:jc w:val="both"/>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59D9D1E3">
            <w:pPr>
              <w:keepNext w:val="0"/>
              <w:keepLines w:val="0"/>
              <w:widowControl/>
              <w:suppressLineNumbers w:val="0"/>
              <w:jc w:val="both"/>
              <w:textAlignment w:val="center"/>
            </w:pPr>
            <w:r>
              <w:rPr>
                <w:rFonts w:hint="eastAsia" w:ascii="Arial"/>
                <w:sz w:val="21"/>
                <w:lang w:val="en-US" w:eastAsia="zh-CN"/>
              </w:rPr>
              <w:t>9分</w:t>
            </w:r>
          </w:p>
        </w:tc>
      </w:tr>
      <w:tr w14:paraId="364C3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99D0F7B">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2F2FED5C">
            <w:pPr>
              <w:jc w:val="center"/>
              <w:rPr>
                <w:rFonts w:ascii="Arial"/>
                <w:b/>
                <w:bCs/>
                <w:sz w:val="21"/>
              </w:rPr>
            </w:pPr>
          </w:p>
        </w:tc>
        <w:tc>
          <w:tcPr>
            <w:tcW w:w="1119" w:type="dxa"/>
            <w:vMerge w:val="continue"/>
            <w:noWrap w:val="0"/>
            <w:vAlign w:val="center"/>
          </w:tcPr>
          <w:p w14:paraId="0FF349DB">
            <w:pPr>
              <w:jc w:val="center"/>
            </w:pPr>
          </w:p>
        </w:tc>
        <w:tc>
          <w:tcPr>
            <w:tcW w:w="2734" w:type="dxa"/>
            <w:gridSpan w:val="3"/>
            <w:noWrap w:val="0"/>
            <w:vAlign w:val="center"/>
          </w:tcPr>
          <w:p w14:paraId="076D01AB">
            <w:pPr>
              <w:jc w:val="center"/>
            </w:pPr>
          </w:p>
        </w:tc>
        <w:tc>
          <w:tcPr>
            <w:tcW w:w="1371" w:type="dxa"/>
            <w:noWrap w:val="0"/>
            <w:vAlign w:val="center"/>
          </w:tcPr>
          <w:p w14:paraId="41D4BE0B">
            <w:pPr>
              <w:jc w:val="left"/>
            </w:pPr>
          </w:p>
        </w:tc>
        <w:tc>
          <w:tcPr>
            <w:tcW w:w="1318" w:type="dxa"/>
            <w:gridSpan w:val="2"/>
            <w:noWrap w:val="0"/>
            <w:vAlign w:val="center"/>
          </w:tcPr>
          <w:p w14:paraId="363D0DD8">
            <w:pPr>
              <w:jc w:val="both"/>
              <w:rPr>
                <w:kern w:val="2"/>
                <w:sz w:val="21"/>
                <w:lang w:val="en-US" w:eastAsia="zh-CN" w:bidi="ar-SA"/>
              </w:rPr>
            </w:pPr>
          </w:p>
        </w:tc>
        <w:tc>
          <w:tcPr>
            <w:tcW w:w="884" w:type="dxa"/>
            <w:noWrap w:val="0"/>
            <w:vAlign w:val="center"/>
          </w:tcPr>
          <w:p w14:paraId="3330BDF4">
            <w:pPr>
              <w:jc w:val="both"/>
            </w:pPr>
          </w:p>
        </w:tc>
      </w:tr>
      <w:tr w14:paraId="25AB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2CBA5EFE">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1783A713">
            <w:pPr>
              <w:jc w:val="center"/>
              <w:rPr>
                <w:rFonts w:ascii="Arial"/>
                <w:b/>
                <w:bCs/>
                <w:sz w:val="21"/>
              </w:rPr>
            </w:pPr>
          </w:p>
        </w:tc>
        <w:tc>
          <w:tcPr>
            <w:tcW w:w="1119" w:type="dxa"/>
            <w:vMerge w:val="restart"/>
            <w:noWrap w:val="0"/>
            <w:vAlign w:val="center"/>
          </w:tcPr>
          <w:p w14:paraId="5AB0086E">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社会效益指标</w:t>
            </w:r>
          </w:p>
        </w:tc>
        <w:tc>
          <w:tcPr>
            <w:tcW w:w="2734" w:type="dxa"/>
            <w:gridSpan w:val="3"/>
            <w:noWrap w:val="0"/>
            <w:vAlign w:val="center"/>
          </w:tcPr>
          <w:p w14:paraId="261D9A7F">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检验统计数据公信力</w:t>
            </w:r>
          </w:p>
        </w:tc>
        <w:tc>
          <w:tcPr>
            <w:tcW w:w="1371" w:type="dxa"/>
            <w:noWrap w:val="0"/>
            <w:vAlign w:val="center"/>
          </w:tcPr>
          <w:p w14:paraId="37B20820">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375DB6A2">
            <w:pPr>
              <w:keepNext w:val="0"/>
              <w:keepLines w:val="0"/>
              <w:widowControl/>
              <w:suppressLineNumbers w:val="0"/>
              <w:jc w:val="both"/>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7C3DFCE0">
            <w:pPr>
              <w:keepNext w:val="0"/>
              <w:keepLines w:val="0"/>
              <w:widowControl/>
              <w:suppressLineNumbers w:val="0"/>
              <w:jc w:val="both"/>
              <w:textAlignment w:val="center"/>
            </w:pPr>
            <w:r>
              <w:rPr>
                <w:rFonts w:hint="eastAsia" w:ascii="Arial"/>
                <w:sz w:val="21"/>
                <w:lang w:val="en-US" w:eastAsia="zh-CN"/>
              </w:rPr>
              <w:t>10分</w:t>
            </w:r>
          </w:p>
        </w:tc>
      </w:tr>
      <w:tr w14:paraId="75CD1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81AC055">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144CC206">
            <w:pPr>
              <w:jc w:val="center"/>
              <w:rPr>
                <w:rFonts w:ascii="Arial"/>
                <w:b/>
                <w:bCs/>
                <w:sz w:val="21"/>
              </w:rPr>
            </w:pPr>
          </w:p>
        </w:tc>
        <w:tc>
          <w:tcPr>
            <w:tcW w:w="1119" w:type="dxa"/>
            <w:vMerge w:val="continue"/>
            <w:noWrap w:val="0"/>
            <w:vAlign w:val="center"/>
          </w:tcPr>
          <w:p w14:paraId="4156B9F4">
            <w:pPr>
              <w:jc w:val="center"/>
            </w:pPr>
          </w:p>
        </w:tc>
        <w:tc>
          <w:tcPr>
            <w:tcW w:w="2734" w:type="dxa"/>
            <w:gridSpan w:val="3"/>
            <w:noWrap w:val="0"/>
            <w:vAlign w:val="center"/>
          </w:tcPr>
          <w:p w14:paraId="0DB66C43">
            <w:pPr>
              <w:jc w:val="left"/>
            </w:pPr>
          </w:p>
        </w:tc>
        <w:tc>
          <w:tcPr>
            <w:tcW w:w="1371" w:type="dxa"/>
            <w:noWrap w:val="0"/>
            <w:vAlign w:val="center"/>
          </w:tcPr>
          <w:p w14:paraId="78BE3457"/>
        </w:tc>
        <w:tc>
          <w:tcPr>
            <w:tcW w:w="1318" w:type="dxa"/>
            <w:gridSpan w:val="2"/>
            <w:noWrap w:val="0"/>
            <w:vAlign w:val="center"/>
          </w:tcPr>
          <w:p w14:paraId="6CFED4DB">
            <w:pPr>
              <w:jc w:val="both"/>
              <w:rPr>
                <w:kern w:val="2"/>
                <w:sz w:val="21"/>
                <w:lang w:val="en-US" w:eastAsia="zh-CN" w:bidi="ar-SA"/>
              </w:rPr>
            </w:pPr>
          </w:p>
        </w:tc>
        <w:tc>
          <w:tcPr>
            <w:tcW w:w="884" w:type="dxa"/>
            <w:noWrap w:val="0"/>
            <w:vAlign w:val="center"/>
          </w:tcPr>
          <w:p w14:paraId="5C56F169">
            <w:pPr>
              <w:jc w:val="both"/>
            </w:pPr>
          </w:p>
        </w:tc>
      </w:tr>
      <w:tr w14:paraId="1884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0DB724A">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7054B1C3">
            <w:pPr>
              <w:jc w:val="center"/>
              <w:rPr>
                <w:rFonts w:ascii="Arial"/>
                <w:b/>
                <w:bCs/>
                <w:sz w:val="21"/>
              </w:rPr>
            </w:pPr>
          </w:p>
        </w:tc>
        <w:tc>
          <w:tcPr>
            <w:tcW w:w="1119" w:type="dxa"/>
            <w:vMerge w:val="restart"/>
            <w:noWrap w:val="0"/>
            <w:vAlign w:val="center"/>
          </w:tcPr>
          <w:p w14:paraId="6A2AD5D6">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环境效益指标</w:t>
            </w:r>
          </w:p>
        </w:tc>
        <w:tc>
          <w:tcPr>
            <w:tcW w:w="2734" w:type="dxa"/>
            <w:gridSpan w:val="3"/>
            <w:noWrap w:val="0"/>
            <w:vAlign w:val="center"/>
          </w:tcPr>
          <w:p w14:paraId="189DF09C">
            <w:pPr>
              <w:jc w:val="left"/>
            </w:pPr>
          </w:p>
        </w:tc>
        <w:tc>
          <w:tcPr>
            <w:tcW w:w="1371" w:type="dxa"/>
            <w:noWrap w:val="0"/>
            <w:vAlign w:val="center"/>
          </w:tcPr>
          <w:p w14:paraId="5D511D02"/>
        </w:tc>
        <w:tc>
          <w:tcPr>
            <w:tcW w:w="1318" w:type="dxa"/>
            <w:gridSpan w:val="2"/>
            <w:noWrap w:val="0"/>
            <w:vAlign w:val="center"/>
          </w:tcPr>
          <w:p w14:paraId="32A0DCE4">
            <w:pPr>
              <w:jc w:val="both"/>
              <w:rPr>
                <w:kern w:val="2"/>
                <w:sz w:val="21"/>
                <w:lang w:val="en-US" w:eastAsia="zh-CN" w:bidi="ar-SA"/>
              </w:rPr>
            </w:pPr>
          </w:p>
        </w:tc>
        <w:tc>
          <w:tcPr>
            <w:tcW w:w="884" w:type="dxa"/>
            <w:noWrap w:val="0"/>
            <w:vAlign w:val="center"/>
          </w:tcPr>
          <w:p w14:paraId="32FFD1BD">
            <w:pPr>
              <w:keepNext w:val="0"/>
              <w:keepLines w:val="0"/>
              <w:widowControl/>
              <w:suppressLineNumbers w:val="0"/>
              <w:jc w:val="both"/>
              <w:textAlignment w:val="center"/>
            </w:pPr>
          </w:p>
        </w:tc>
      </w:tr>
      <w:tr w14:paraId="7CEF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88A1240">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7A135BED">
            <w:pPr>
              <w:jc w:val="center"/>
              <w:rPr>
                <w:rFonts w:ascii="Arial"/>
                <w:b/>
                <w:bCs/>
                <w:sz w:val="21"/>
              </w:rPr>
            </w:pPr>
          </w:p>
        </w:tc>
        <w:tc>
          <w:tcPr>
            <w:tcW w:w="1119" w:type="dxa"/>
            <w:vMerge w:val="continue"/>
            <w:noWrap w:val="0"/>
            <w:vAlign w:val="center"/>
          </w:tcPr>
          <w:p w14:paraId="7F7F1409">
            <w:pPr>
              <w:jc w:val="center"/>
            </w:pPr>
          </w:p>
        </w:tc>
        <w:tc>
          <w:tcPr>
            <w:tcW w:w="2734" w:type="dxa"/>
            <w:gridSpan w:val="3"/>
            <w:noWrap w:val="0"/>
            <w:vAlign w:val="center"/>
          </w:tcPr>
          <w:p w14:paraId="22E41A5C">
            <w:pPr>
              <w:jc w:val="left"/>
            </w:pPr>
          </w:p>
        </w:tc>
        <w:tc>
          <w:tcPr>
            <w:tcW w:w="1371" w:type="dxa"/>
            <w:noWrap w:val="0"/>
            <w:vAlign w:val="center"/>
          </w:tcPr>
          <w:p w14:paraId="1AE9898E"/>
        </w:tc>
        <w:tc>
          <w:tcPr>
            <w:tcW w:w="1318" w:type="dxa"/>
            <w:gridSpan w:val="2"/>
            <w:noWrap w:val="0"/>
            <w:vAlign w:val="center"/>
          </w:tcPr>
          <w:p w14:paraId="0E4CE25D">
            <w:pPr>
              <w:jc w:val="both"/>
              <w:rPr>
                <w:kern w:val="2"/>
                <w:sz w:val="21"/>
                <w:lang w:val="en-US" w:eastAsia="zh-CN" w:bidi="ar-SA"/>
              </w:rPr>
            </w:pPr>
          </w:p>
        </w:tc>
        <w:tc>
          <w:tcPr>
            <w:tcW w:w="884" w:type="dxa"/>
            <w:noWrap w:val="0"/>
            <w:vAlign w:val="center"/>
          </w:tcPr>
          <w:p w14:paraId="2BB3C470">
            <w:pPr>
              <w:jc w:val="both"/>
            </w:pPr>
          </w:p>
        </w:tc>
      </w:tr>
      <w:tr w14:paraId="54D0D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59881C1">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210D28E6">
            <w:pPr>
              <w:jc w:val="center"/>
              <w:rPr>
                <w:rFonts w:ascii="Arial"/>
                <w:b/>
                <w:bCs/>
                <w:sz w:val="21"/>
              </w:rPr>
            </w:pPr>
          </w:p>
        </w:tc>
        <w:tc>
          <w:tcPr>
            <w:tcW w:w="1119" w:type="dxa"/>
            <w:vMerge w:val="restart"/>
            <w:noWrap w:val="0"/>
            <w:vAlign w:val="center"/>
          </w:tcPr>
          <w:p w14:paraId="79137303">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可持续影响指标</w:t>
            </w:r>
          </w:p>
        </w:tc>
        <w:tc>
          <w:tcPr>
            <w:tcW w:w="2734" w:type="dxa"/>
            <w:gridSpan w:val="3"/>
            <w:noWrap w:val="0"/>
            <w:vAlign w:val="center"/>
          </w:tcPr>
          <w:p w14:paraId="20C27133">
            <w:pPr>
              <w:jc w:val="left"/>
            </w:pPr>
            <w:r>
              <w:rPr>
                <w:rFonts w:hint="eastAsia" w:ascii="仿宋" w:hAnsi="仿宋" w:eastAsia="仿宋" w:cs="仿宋"/>
                <w:i w:val="0"/>
                <w:iCs w:val="0"/>
                <w:color w:val="000000"/>
                <w:kern w:val="0"/>
                <w:sz w:val="22"/>
                <w:szCs w:val="22"/>
                <w:u w:val="none"/>
                <w:lang w:val="en-US" w:eastAsia="zh-CN" w:bidi="ar"/>
              </w:rPr>
              <w:t>为区委区政府提供经济数据</w:t>
            </w:r>
          </w:p>
        </w:tc>
        <w:tc>
          <w:tcPr>
            <w:tcW w:w="1371" w:type="dxa"/>
            <w:noWrap w:val="0"/>
            <w:vAlign w:val="center"/>
          </w:tcPr>
          <w:p w14:paraId="2D614AC5">
            <w:r>
              <w:rPr>
                <w:rFonts w:hint="eastAsia"/>
              </w:rPr>
              <w:t>100%</w:t>
            </w:r>
          </w:p>
        </w:tc>
        <w:tc>
          <w:tcPr>
            <w:tcW w:w="1318" w:type="dxa"/>
            <w:gridSpan w:val="2"/>
            <w:noWrap w:val="0"/>
            <w:vAlign w:val="center"/>
          </w:tcPr>
          <w:p w14:paraId="408C6A39">
            <w:pPr>
              <w:jc w:val="both"/>
              <w:rPr>
                <w:kern w:val="2"/>
                <w:sz w:val="21"/>
                <w:lang w:val="en-US" w:eastAsia="zh-CN" w:bidi="ar-SA"/>
              </w:rPr>
            </w:pPr>
            <w:r>
              <w:rPr>
                <w:rFonts w:hint="eastAsia"/>
                <w:kern w:val="2"/>
                <w:sz w:val="21"/>
                <w:lang w:val="en-US" w:eastAsia="zh-CN" w:bidi="ar-SA"/>
              </w:rPr>
              <w:t>100%</w:t>
            </w:r>
          </w:p>
        </w:tc>
        <w:tc>
          <w:tcPr>
            <w:tcW w:w="884" w:type="dxa"/>
            <w:noWrap w:val="0"/>
            <w:vAlign w:val="center"/>
          </w:tcPr>
          <w:p w14:paraId="01129B27">
            <w:pPr>
              <w:keepNext w:val="0"/>
              <w:keepLines w:val="0"/>
              <w:widowControl/>
              <w:suppressLineNumbers w:val="0"/>
              <w:jc w:val="both"/>
              <w:textAlignment w:val="center"/>
            </w:pPr>
            <w:r>
              <w:rPr>
                <w:rFonts w:hint="eastAsia" w:ascii="Arial"/>
                <w:sz w:val="21"/>
                <w:lang w:val="en-US" w:eastAsia="zh-CN"/>
              </w:rPr>
              <w:t>9分</w:t>
            </w:r>
          </w:p>
        </w:tc>
      </w:tr>
      <w:tr w14:paraId="2D74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4A513BCA">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561F72DD">
            <w:pPr>
              <w:jc w:val="center"/>
              <w:rPr>
                <w:rFonts w:ascii="Arial"/>
                <w:b/>
                <w:bCs/>
                <w:sz w:val="21"/>
              </w:rPr>
            </w:pPr>
          </w:p>
        </w:tc>
        <w:tc>
          <w:tcPr>
            <w:tcW w:w="1119" w:type="dxa"/>
            <w:vMerge w:val="continue"/>
            <w:noWrap w:val="0"/>
            <w:vAlign w:val="center"/>
          </w:tcPr>
          <w:p w14:paraId="7DE3B9A2">
            <w:pPr>
              <w:jc w:val="center"/>
            </w:pPr>
          </w:p>
        </w:tc>
        <w:tc>
          <w:tcPr>
            <w:tcW w:w="2734" w:type="dxa"/>
            <w:gridSpan w:val="3"/>
            <w:noWrap w:val="0"/>
            <w:vAlign w:val="center"/>
          </w:tcPr>
          <w:p w14:paraId="745BB75E">
            <w:pPr>
              <w:jc w:val="left"/>
            </w:pPr>
          </w:p>
        </w:tc>
        <w:tc>
          <w:tcPr>
            <w:tcW w:w="1371" w:type="dxa"/>
            <w:noWrap w:val="0"/>
            <w:vAlign w:val="center"/>
          </w:tcPr>
          <w:p w14:paraId="02C87C1C"/>
        </w:tc>
        <w:tc>
          <w:tcPr>
            <w:tcW w:w="1318" w:type="dxa"/>
            <w:gridSpan w:val="2"/>
            <w:noWrap w:val="0"/>
            <w:vAlign w:val="center"/>
          </w:tcPr>
          <w:p w14:paraId="7B84F8EA">
            <w:pPr>
              <w:jc w:val="both"/>
              <w:rPr>
                <w:kern w:val="2"/>
                <w:sz w:val="21"/>
                <w:lang w:val="en-US" w:eastAsia="zh-CN" w:bidi="ar-SA"/>
              </w:rPr>
            </w:pPr>
          </w:p>
        </w:tc>
        <w:tc>
          <w:tcPr>
            <w:tcW w:w="884" w:type="dxa"/>
            <w:noWrap w:val="0"/>
            <w:vAlign w:val="center"/>
          </w:tcPr>
          <w:p w14:paraId="2A3FBB22">
            <w:pPr>
              <w:jc w:val="both"/>
            </w:pPr>
          </w:p>
        </w:tc>
      </w:tr>
      <w:tr w14:paraId="7532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70E93EF9">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2A00E42B">
            <w:pPr>
              <w:jc w:val="center"/>
              <w:rPr>
                <w:rFonts w:ascii="Arial"/>
                <w:b/>
                <w:bCs/>
                <w:sz w:val="21"/>
              </w:rPr>
            </w:pPr>
          </w:p>
        </w:tc>
        <w:tc>
          <w:tcPr>
            <w:tcW w:w="1119" w:type="dxa"/>
            <w:vMerge w:val="continue"/>
            <w:noWrap w:val="0"/>
            <w:vAlign w:val="center"/>
          </w:tcPr>
          <w:p w14:paraId="69C09265">
            <w:pPr>
              <w:jc w:val="center"/>
            </w:pPr>
          </w:p>
        </w:tc>
        <w:tc>
          <w:tcPr>
            <w:tcW w:w="2734" w:type="dxa"/>
            <w:gridSpan w:val="3"/>
            <w:noWrap w:val="0"/>
            <w:vAlign w:val="center"/>
          </w:tcPr>
          <w:p w14:paraId="7D337D6C">
            <w:pPr>
              <w:jc w:val="left"/>
            </w:pPr>
          </w:p>
        </w:tc>
        <w:tc>
          <w:tcPr>
            <w:tcW w:w="1371" w:type="dxa"/>
            <w:noWrap w:val="0"/>
            <w:vAlign w:val="center"/>
          </w:tcPr>
          <w:p w14:paraId="58017DAC"/>
        </w:tc>
        <w:tc>
          <w:tcPr>
            <w:tcW w:w="1318" w:type="dxa"/>
            <w:gridSpan w:val="2"/>
            <w:noWrap w:val="0"/>
            <w:vAlign w:val="center"/>
          </w:tcPr>
          <w:p w14:paraId="4371C898">
            <w:pPr>
              <w:jc w:val="both"/>
              <w:rPr>
                <w:kern w:val="2"/>
                <w:sz w:val="21"/>
                <w:lang w:val="en-US" w:eastAsia="zh-CN" w:bidi="ar-SA"/>
              </w:rPr>
            </w:pPr>
          </w:p>
        </w:tc>
        <w:tc>
          <w:tcPr>
            <w:tcW w:w="884" w:type="dxa"/>
            <w:noWrap w:val="0"/>
            <w:vAlign w:val="center"/>
          </w:tcPr>
          <w:p w14:paraId="0B508791">
            <w:pPr>
              <w:jc w:val="both"/>
            </w:pPr>
          </w:p>
        </w:tc>
      </w:tr>
      <w:tr w14:paraId="402CC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3D0DF5A">
            <w:pPr>
              <w:spacing w:before="159" w:line="220" w:lineRule="auto"/>
              <w:ind w:left="175"/>
              <w:rPr>
                <w:rFonts w:ascii="宋体" w:hAnsi="宋体" w:eastAsia="宋体" w:cs="宋体"/>
                <w:b/>
                <w:bCs/>
                <w:spacing w:val="4"/>
                <w:sz w:val="22"/>
                <w:szCs w:val="22"/>
              </w:rPr>
            </w:pPr>
          </w:p>
        </w:tc>
        <w:tc>
          <w:tcPr>
            <w:tcW w:w="689" w:type="dxa"/>
            <w:noWrap w:val="0"/>
            <w:vAlign w:val="center"/>
          </w:tcPr>
          <w:p w14:paraId="2B7BFA15">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服务对象满意度指标（10分）</w:t>
            </w:r>
          </w:p>
        </w:tc>
        <w:tc>
          <w:tcPr>
            <w:tcW w:w="1119" w:type="dxa"/>
            <w:noWrap w:val="0"/>
            <w:vAlign w:val="center"/>
          </w:tcPr>
          <w:p w14:paraId="5B29EA1B">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具体指标</w:t>
            </w:r>
          </w:p>
        </w:tc>
        <w:tc>
          <w:tcPr>
            <w:tcW w:w="2734" w:type="dxa"/>
            <w:gridSpan w:val="3"/>
            <w:noWrap w:val="0"/>
            <w:vAlign w:val="center"/>
          </w:tcPr>
          <w:p w14:paraId="34D763BD">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群众满意率</w:t>
            </w:r>
          </w:p>
        </w:tc>
        <w:tc>
          <w:tcPr>
            <w:tcW w:w="1371" w:type="dxa"/>
            <w:noWrap w:val="0"/>
            <w:vAlign w:val="center"/>
          </w:tcPr>
          <w:p w14:paraId="3057E06E">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0E647B79">
            <w:pPr>
              <w:keepNext w:val="0"/>
              <w:keepLines w:val="0"/>
              <w:widowControl/>
              <w:suppressLineNumbers w:val="0"/>
              <w:jc w:val="both"/>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860DF52">
            <w:pPr>
              <w:keepNext w:val="0"/>
              <w:keepLines w:val="0"/>
              <w:widowControl/>
              <w:suppressLineNumbers w:val="0"/>
              <w:jc w:val="both"/>
              <w:textAlignment w:val="center"/>
            </w:pPr>
            <w:r>
              <w:rPr>
                <w:rFonts w:hint="eastAsia" w:ascii="Arial"/>
                <w:sz w:val="21"/>
                <w:lang w:val="en-US" w:eastAsia="zh-CN"/>
              </w:rPr>
              <w:t>9分</w:t>
            </w:r>
          </w:p>
        </w:tc>
      </w:tr>
      <w:tr w14:paraId="441DB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0551F18F">
            <w:pPr>
              <w:spacing w:before="159" w:line="220" w:lineRule="auto"/>
              <w:ind w:left="175" w:leftChars="0"/>
              <w:rPr>
                <w:rFonts w:ascii="宋体" w:hAnsi="宋体" w:eastAsia="宋体" w:cs="宋体"/>
                <w:b/>
                <w:bCs/>
                <w:spacing w:val="4"/>
                <w:sz w:val="22"/>
                <w:szCs w:val="22"/>
              </w:rPr>
            </w:pPr>
            <w:r>
              <w:rPr>
                <w:rFonts w:ascii="宋体" w:hAnsi="宋体" w:eastAsia="宋体" w:cs="宋体"/>
                <w:b/>
                <w:bCs/>
                <w:spacing w:val="4"/>
                <w:sz w:val="22"/>
                <w:szCs w:val="22"/>
              </w:rPr>
              <w:t>总分</w:t>
            </w:r>
          </w:p>
        </w:tc>
        <w:tc>
          <w:tcPr>
            <w:tcW w:w="8115" w:type="dxa"/>
            <w:gridSpan w:val="9"/>
            <w:noWrap w:val="0"/>
            <w:vAlign w:val="top"/>
          </w:tcPr>
          <w:p w14:paraId="39A5AB2D">
            <w:pPr>
              <w:spacing w:before="159" w:line="220" w:lineRule="auto"/>
              <w:ind w:left="175" w:leftChars="0"/>
              <w:rPr>
                <w:rFonts w:hint="default" w:eastAsia="宋体"/>
                <w:lang w:val="en-US" w:eastAsia="zh-CN"/>
              </w:rPr>
            </w:pPr>
            <w:r>
              <w:rPr>
                <w:rFonts w:hint="eastAsia" w:eastAsia="宋体"/>
                <w:lang w:val="en-US" w:eastAsia="zh-CN"/>
              </w:rPr>
              <w:t>97</w:t>
            </w:r>
          </w:p>
        </w:tc>
      </w:tr>
      <w:tr w14:paraId="35A9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545E3167">
            <w:pPr>
              <w:jc w:val="left"/>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偏差大或目标未完成原因分析</w:t>
            </w:r>
          </w:p>
        </w:tc>
        <w:tc>
          <w:tcPr>
            <w:tcW w:w="8115" w:type="dxa"/>
            <w:gridSpan w:val="9"/>
            <w:noWrap w:val="0"/>
            <w:vAlign w:val="top"/>
          </w:tcPr>
          <w:p w14:paraId="2E626591">
            <w:pPr>
              <w:rPr>
                <w:rFonts w:hint="default" w:ascii="Arial" w:hAnsiTheme="minorHAnsi" w:eastAsiaTheme="minorEastAsia" w:cstheme="minorBidi"/>
                <w:kern w:val="2"/>
                <w:sz w:val="21"/>
                <w:szCs w:val="24"/>
                <w:lang w:val="en-US" w:eastAsia="zh-CN" w:bidi="ar-SA"/>
              </w:rPr>
            </w:pPr>
            <w:r>
              <w:rPr>
                <w:rFonts w:hint="eastAsia" w:ascii="Arial" w:cstheme="minorBidi"/>
                <w:kern w:val="2"/>
                <w:sz w:val="21"/>
                <w:szCs w:val="24"/>
                <w:lang w:val="en-US" w:eastAsia="zh-CN" w:bidi="ar-SA"/>
              </w:rPr>
              <w:t>无</w:t>
            </w:r>
          </w:p>
        </w:tc>
      </w:tr>
      <w:tr w14:paraId="4EDE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33A2986C">
            <w:pPr>
              <w:jc w:val="left"/>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改进措施及结果应用方案</w:t>
            </w:r>
          </w:p>
        </w:tc>
        <w:tc>
          <w:tcPr>
            <w:tcW w:w="8115" w:type="dxa"/>
            <w:gridSpan w:val="9"/>
            <w:noWrap w:val="0"/>
            <w:vAlign w:val="top"/>
          </w:tcPr>
          <w:p w14:paraId="526B2884">
            <w:pPr>
              <w:rPr>
                <w:rFonts w:hint="default" w:ascii="Arial" w:hAnsiTheme="minorHAnsi" w:eastAsiaTheme="minorEastAsia" w:cstheme="minorBidi"/>
                <w:kern w:val="2"/>
                <w:sz w:val="21"/>
                <w:szCs w:val="24"/>
                <w:lang w:val="en-US" w:eastAsia="zh-CN" w:bidi="ar-SA"/>
              </w:rPr>
            </w:pPr>
            <w:r>
              <w:rPr>
                <w:rFonts w:hint="eastAsia" w:ascii="Arial" w:cstheme="minorBidi"/>
                <w:kern w:val="2"/>
                <w:sz w:val="21"/>
                <w:szCs w:val="24"/>
                <w:lang w:val="en-US" w:eastAsia="zh-CN" w:bidi="ar-SA"/>
              </w:rPr>
              <w:t>无</w:t>
            </w:r>
          </w:p>
        </w:tc>
      </w:tr>
    </w:tbl>
    <w:p w14:paraId="4781D836">
      <w:pPr>
        <w:widowControl/>
        <w:spacing w:before="300"/>
        <w:jc w:val="left"/>
        <w:rPr>
          <w:rStyle w:val="8"/>
          <w:rFonts w:hint="default" w:ascii="宋体" w:hAnsi="宋体" w:eastAsia="宋体" w:cs="宋体"/>
          <w:b w:val="0"/>
          <w:bCs/>
          <w:i w:val="0"/>
          <w:caps w:val="0"/>
          <w:color w:val="000000"/>
          <w:spacing w:val="0"/>
          <w:sz w:val="28"/>
          <w:szCs w:val="28"/>
          <w:shd w:val="clear" w:fill="FFFFFF"/>
        </w:rPr>
      </w:pPr>
    </w:p>
    <w:p w14:paraId="04E2990E">
      <w:pPr>
        <w:widowControl/>
        <w:spacing w:before="300"/>
        <w:jc w:val="left"/>
        <w:rPr>
          <w:rStyle w:val="8"/>
          <w:rFonts w:hint="default" w:ascii="Arial" w:hAnsi="Arial" w:eastAsia="宋体" w:cs="Arial"/>
          <w:i w:val="0"/>
          <w:caps w:val="0"/>
          <w:color w:val="000000"/>
          <w:spacing w:val="0"/>
          <w:sz w:val="27"/>
          <w:szCs w:val="27"/>
          <w:shd w:val="clear" w:fill="FFFFFF"/>
        </w:rPr>
      </w:pPr>
      <w:r>
        <w:rPr>
          <w:rStyle w:val="8"/>
          <w:rFonts w:hint="default" w:ascii="Arial" w:hAnsi="Arial" w:eastAsia="宋体" w:cs="Arial"/>
          <w:i w:val="0"/>
          <w:caps w:val="0"/>
          <w:color w:val="000000"/>
          <w:spacing w:val="0"/>
          <w:sz w:val="27"/>
          <w:szCs w:val="27"/>
          <w:shd w:val="clear" w:fill="FFFFFF"/>
        </w:rPr>
        <w:t>（三）绩效评级结果应用情况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1.部门绩效评价结果应用情况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  加强绩效评价结果应用，我单位将绩效自评结果作为以后年度该项目预算编制和安排财政资金的重要参考依据；将绩效自评结果按照要求向社会公开，自觉接受社会监督。</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2.部门绩效评价结果拟应用情况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 我单位将绩效自评结果与2022年预算编制相结合，对实施效果好的项目优先保障项目资金预算，并在编制预算的过程中，对绩效目标及指标进行梳理完善，完成绩效指标编制自评工作。同时加强内部控制管理，建立项目绩效考核机制，促进项目产出及效益提升，将绩效管理工作落到实处。</w:t>
      </w:r>
    </w:p>
    <w:p w14:paraId="2BE5F38A">
      <w:pPr>
        <w:widowControl/>
        <w:spacing w:before="300"/>
        <w:jc w:val="left"/>
        <w:rPr>
          <w:rStyle w:val="8"/>
          <w:rFonts w:hint="default" w:ascii="Arial" w:hAnsi="Arial" w:eastAsia="宋体" w:cs="Arial"/>
          <w:i w:val="0"/>
          <w:caps w:val="0"/>
          <w:color w:val="000000"/>
          <w:spacing w:val="0"/>
          <w:sz w:val="27"/>
          <w:szCs w:val="27"/>
          <w:shd w:val="clear" w:fill="FFFFFF"/>
        </w:rPr>
      </w:pPr>
    </w:p>
    <w:p w14:paraId="2FCE47BE">
      <w:pPr>
        <w:widowControl/>
        <w:numPr>
          <w:ilvl w:val="0"/>
          <w:numId w:val="1"/>
        </w:numPr>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Arial" w:hAnsi="Arial" w:eastAsia="宋体" w:cs="Arial"/>
          <w:i w:val="0"/>
          <w:caps w:val="0"/>
          <w:color w:val="000000"/>
          <w:spacing w:val="0"/>
          <w:sz w:val="27"/>
          <w:szCs w:val="27"/>
          <w:shd w:val="clear" w:fill="FFFFFF"/>
        </w:rPr>
        <w:t>名词解释</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一、财政拨款收入：指财政部门当年拨付的资金。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二、事业收入：指事业单位开展专业业务活动及辅助活动所取得的收入。</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三、经营收入：指事业单位在专业业务活动及其辅助活动之外开展非独立核算经营活动取得的收入。</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四、其他收入：指除上述“财政拨款收入”、“事业收入”、“经营收入”</w:t>
      </w:r>
    </w:p>
    <w:p w14:paraId="4007BDE4">
      <w:pPr>
        <w:widowControl/>
        <w:numPr>
          <w:ilvl w:val="0"/>
          <w:numId w:val="0"/>
        </w:numPr>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t>等以外的收入。</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六、年初结转和结余：指以前年度尚未完成、结转到本年 按有关规定继续使用的资金。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七、结余分配：指事业单位按规定提取的职工福利基金、事业基金和缴纳的所得税，以及建设单位按规定应交回的基本建设竣工项目结余资金。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八、年末结转和结余：指本年度或以前年度预算安排、因客观条件发生变化无法按原计划实施，需要延迟到以后年度按有关规定继续使用的资金。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九、基本支出：指为保障机构正常运转、完成日常工作任务而发生的人员支出和公用支出。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十、项目支出：指在基本支出之外为完成特定行政任务和事业发展目标所发生的支出。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十一、经营支出：指事业单位在专业业务活动及其辅助活动之外开展非独立核算经营活动发生的支出。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二、“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CEEE82"/>
    <w:sectPr>
      <w:pgSz w:w="11906" w:h="16838"/>
      <w:pgMar w:top="1440"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3339D"/>
    <w:multiLevelType w:val="singleLevel"/>
    <w:tmpl w:val="59A3339D"/>
    <w:lvl w:ilvl="0" w:tentative="0">
      <w:start w:val="4"/>
      <w:numFmt w:val="chineseCounting"/>
      <w:suff w:val="noth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RlZWI1ZWM5ZDE4YWFjM2ZlYmVhMDBiNDU4MTI4YzMifQ=="/>
  </w:docVars>
  <w:rsids>
    <w:rsidRoot w:val="29172B2D"/>
    <w:rsid w:val="00010497"/>
    <w:rsid w:val="00384159"/>
    <w:rsid w:val="00834A4C"/>
    <w:rsid w:val="00F97696"/>
    <w:rsid w:val="0411495D"/>
    <w:rsid w:val="09364BF6"/>
    <w:rsid w:val="171A1A2E"/>
    <w:rsid w:val="1A01361B"/>
    <w:rsid w:val="1EEB1311"/>
    <w:rsid w:val="220D5F3B"/>
    <w:rsid w:val="23286F1C"/>
    <w:rsid w:val="29172B2D"/>
    <w:rsid w:val="2AA7484B"/>
    <w:rsid w:val="32680F7D"/>
    <w:rsid w:val="3284374F"/>
    <w:rsid w:val="3D8D2A2E"/>
    <w:rsid w:val="41362C73"/>
    <w:rsid w:val="450449DD"/>
    <w:rsid w:val="46F73B78"/>
    <w:rsid w:val="48530302"/>
    <w:rsid w:val="4AE62FC1"/>
    <w:rsid w:val="4AFE176D"/>
    <w:rsid w:val="4BAC0734"/>
    <w:rsid w:val="551675C2"/>
    <w:rsid w:val="560B572F"/>
    <w:rsid w:val="562F1653"/>
    <w:rsid w:val="57430249"/>
    <w:rsid w:val="57BC4616"/>
    <w:rsid w:val="59D707B6"/>
    <w:rsid w:val="5AAB0478"/>
    <w:rsid w:val="616E7F4E"/>
    <w:rsid w:val="69BA4F74"/>
    <w:rsid w:val="6B9A2C94"/>
    <w:rsid w:val="6F476E20"/>
    <w:rsid w:val="7FC21A35"/>
    <w:rsid w:val="7FFF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3"/>
    <w:qFormat/>
    <w:uiPriority w:val="0"/>
    <w:rPr>
      <w:rFonts w:asciiTheme="minorHAnsi" w:hAnsiTheme="minorHAnsi" w:eastAsiaTheme="minorEastAsia" w:cstheme="minorBidi"/>
      <w:kern w:val="2"/>
      <w:sz w:val="18"/>
      <w:szCs w:val="18"/>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4000</Words>
  <Characters>4472</Characters>
  <Lines>44</Lines>
  <Paragraphs>12</Paragraphs>
  <TotalTime>3</TotalTime>
  <ScaleCrop>false</ScaleCrop>
  <LinksUpToDate>false</LinksUpToDate>
  <CharactersWithSpaces>4559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2023-05-14T02:20:00Z</dcterms:created>
  <dc:creator>Administrator</dc:creator>
  <cp:lastModifiedBy>时间的尽头</cp:lastModifiedBy>
  <dcterms:modified xsi:type="dcterms:W3CDTF">2025-03-14T03:38:36Z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9A30E9C5766B4BD187661A1918A9DA12_11</vt:lpwstr>
  </property>
  <property fmtid="{D5CDD505-2E9C-101B-9397-08002B2CF9AE}" pid="4" name="KSOTemplateDocerSaveRecord">
    <vt:lpwstr>eyJoZGlkIjoiOTc4OTdhNTgyZmEzODBmNjY4YjAzM2FjZjRjYmE5ZDgiLCJ1c2VySWQiOiI1NTk0Mjk4NTAifQ==</vt:lpwstr>
  </property>
</Properties>
</file>