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0033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iCs w:val="0"/>
          <w:caps w:val="0"/>
          <w:color w:val="003366"/>
          <w:spacing w:val="0"/>
          <w:sz w:val="28"/>
          <w:szCs w:val="28"/>
          <w:bdr w:val="none" w:color="auto" w:sz="0" w:space="0"/>
          <w:shd w:val="clear" w:fill="FFFFFF"/>
        </w:rPr>
        <w:t>2021年转移支付情况说明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3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2021年，上级税收返还和转移支付补助收入合计44467万元。具体情况如下：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1、税收返还收入3753万元；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一般性转移支付收入28404万元，其中，均衡性转移支付收入432万元、县级基本财力保障补助收入185万元、结算补助收入（不含团城山事务移交划转资金）5362万元、固定数额补助收入10217万元、公共安全共同财政事权转移支付收入396万元、教育共同财政事权转移支付收入2478万元、科学技术共同财政事权转移支付收入10万元、文化旅游体育与传媒共同财政事权转移支付收入21万元、社会保障和就业共同财政事权转移支付收入5641万元、卫生健康共同财政事权转移支付收入1581万元、农林水共同财政事权转移支付收入6万元、住房保障共同财政事权转移支付收入2073万元、民族地区转移支付收入2万元；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专项转移支付收入12310万元，按照指定科目用于：一般公共服务支出46万元、国防支出4万元、文化旅游体育与传媒支出210万元、社会保障和就业支出150万元、节能环保支出4915万元、资源勘探信息等200万元、住房保障支出6785万元。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ZDc3NzVjNmZmODIwMDM2Mzg1MTEyMDNhZmJmMzkifQ=="/>
  </w:docVars>
  <w:rsids>
    <w:rsidRoot w:val="0D4E2541"/>
    <w:rsid w:val="0D4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2023-07-26T07:04:00Z</dcterms:created>
  <dc:creator>墨墨</dc:creator>
  <cp:lastModifiedBy>墨墨</cp:lastModifiedBy>
  <dcterms:modified xsi:type="dcterms:W3CDTF">2023-07-26T07:06:58Z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08E682B5C40941349F038D2B2DF6A01A_11</vt:lpwstr>
  </property>
</Properties>
</file>