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0"/>
        <w:jc w:val="center"/>
        <w:rPr>
          <w:rFonts w:hint="eastAsia" w:ascii="Arial" w:hAnsi="Arial" w:cs="Arial"/>
          <w:i w:val="0"/>
          <w:iCs w:val="0"/>
          <w:caps w:val="0"/>
          <w:color w:val="003366"/>
          <w:spacing w:val="0"/>
          <w:sz w:val="28"/>
          <w:szCs w:val="28"/>
        </w:rPr>
      </w:pPr>
      <w:r>
        <w:rPr>
          <w:rFonts w:hint="default" w:ascii="Arial" w:hAnsi="Arial" w:cs="Arial"/>
          <w:i w:val="0"/>
          <w:iCs w:val="0"/>
          <w:caps w:val="0"/>
          <w:color w:val="003366"/>
          <w:spacing w:val="0"/>
          <w:sz w:val="28"/>
          <w:szCs w:val="28"/>
          <w:shd w:val="clear" w:fill="FFFFFF"/>
        </w:rPr>
        <w:t>202</w:t>
      </w:r>
      <w:r>
        <w:rPr>
          <w:rFonts w:hint="eastAsia" w:ascii="Arial" w:hAnsi="Arial" w:cs="Arial"/>
          <w:i w:val="0"/>
          <w:iCs w:val="0"/>
          <w:caps w:val="0"/>
          <w:color w:val="003366"/>
          <w:spacing w:val="0"/>
          <w:sz w:val="28"/>
          <w:szCs w:val="28"/>
          <w:shd w:val="clear" w:fill="FFFFFF"/>
          <w:lang w:val="en-US" w:eastAsia="zh-CN"/>
        </w:rPr>
        <w:t>2</w:t>
      </w:r>
      <w:r>
        <w:rPr>
          <w:rFonts w:hint="default" w:ascii="Arial" w:hAnsi="Arial" w:cs="Arial"/>
          <w:i w:val="0"/>
          <w:iCs w:val="0"/>
          <w:caps w:val="0"/>
          <w:color w:val="003366"/>
          <w:spacing w:val="0"/>
          <w:sz w:val="28"/>
          <w:szCs w:val="28"/>
          <w:shd w:val="clear" w:fill="FFFFFF"/>
        </w:rPr>
        <w:t>年下陆区政府债务情况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336" w:lineRule="atLeast"/>
        <w:ind w:left="0" w:right="0" w:firstLine="0"/>
        <w:jc w:val="left"/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1.政府债务限额：2022年，市财政局下达我区政府债务限额为64151万元（均为一般债务限额），比上年增长91.8%，增幅较大的原因是：2022年市财政局将涉及“市借区用”的市本级一般债券债务余额23669.5万元划转到下陆区，并同步划转23669万元债务限额。2022年末下陆区政府债务余额为57118.5万元（均为一般债券），政府债务余额未超过政府债务限额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40" w:beforeAutospacing="0" w:after="0" w:afterAutospacing="0" w:line="336" w:lineRule="atLeast"/>
        <w:ind w:left="0" w:right="0" w:firstLine="0"/>
        <w:jc w:val="left"/>
        <w:rPr>
          <w:rFonts w:hint="default" w:ascii="Arial" w:hAnsi="Arial" w:cs="Arial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hint="default" w:ascii="Arial" w:hAnsi="Arial" w:eastAsia="宋体" w:cs="Arial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lang w:val="en-US" w:eastAsia="zh-CN" w:bidi="ar"/>
        </w:rPr>
        <w:t>2.政府债券资金情况：2022年，市财政下达我区政府一般债券资金5399万元，其中：再融资债券资金1638万元，较上年减少2544万元，用于偿还以前年度政府债券到期本金；新增债券资金3761万元，较上年减少1475万元，安排用于伍家洪大道旁边坡应急治理项目、长宇新城二期专项建设、万达地块道路建设、墨斗山、下陆小学建设等项目。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hZDc3NzVjNmZmODIwMDM2Mzg1MTEyMDNhZmJmMzkifQ=="/>
  </w:docVars>
  <w:rsids>
    <w:rsidRoot w:val="5C4B587B"/>
    <w:rsid w:val="120670AA"/>
    <w:rsid w:val="5C4B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2023-07-26T07:07:00Z</dcterms:created>
  <dc:creator>墨墨</dc:creator>
  <cp:lastModifiedBy>墨墨</cp:lastModifiedBy>
  <dcterms:modified xsi:type="dcterms:W3CDTF">2023-09-11T07:41:43Z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4CD9592210BF46ECA7E25D86F29AD5C2_11</vt:lpwstr>
  </property>
</Properties>
</file>