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报告编码：</w:t>
      </w:r>
    </w:p>
    <w:p>
      <w:pPr>
        <w:spacing w:line="560" w:lineRule="exact"/>
        <w:jc w:val="center"/>
        <w:rPr>
          <w:rFonts w:ascii="方正小标宋_GBK" w:hAnsi="方正小标宋_GBK" w:eastAsia="方正小标宋_GBK" w:cs="方正小标宋_GBK"/>
          <w:color w:val="auto"/>
          <w:sz w:val="36"/>
          <w:szCs w:val="36"/>
          <w:highlight w:val="none"/>
        </w:rPr>
      </w:pPr>
    </w:p>
    <w:p>
      <w:pPr>
        <w:spacing w:line="560" w:lineRule="exact"/>
        <w:jc w:val="center"/>
        <w:rPr>
          <w:rFonts w:ascii="方正小标宋_GBK" w:hAnsi="方正小标宋_GBK" w:eastAsia="方正小标宋_GBK" w:cs="方正小标宋_GBK"/>
          <w:color w:val="auto"/>
          <w:sz w:val="36"/>
          <w:szCs w:val="36"/>
          <w:highlight w:val="none"/>
        </w:rPr>
      </w:pPr>
    </w:p>
    <w:p>
      <w:pPr>
        <w:spacing w:line="640" w:lineRule="exact"/>
        <w:jc w:val="center"/>
        <w:rPr>
          <w:rFonts w:ascii="方正小标宋_GBK" w:hAnsi="方正小标宋_GBK" w:eastAsia="方正小标宋_GBK" w:cs="方正小标宋_GBK"/>
          <w:color w:val="auto"/>
          <w:sz w:val="60"/>
          <w:szCs w:val="60"/>
          <w:highlight w:val="none"/>
        </w:rPr>
      </w:pPr>
      <w:r>
        <w:rPr>
          <w:rFonts w:hint="eastAsia" w:ascii="方正小标宋_GBK" w:hAnsi="方正小标宋_GBK" w:eastAsia="方正小标宋_GBK" w:cs="方正小标宋_GBK"/>
          <w:color w:val="auto"/>
          <w:sz w:val="60"/>
          <w:szCs w:val="60"/>
          <w:highlight w:val="none"/>
        </w:rPr>
        <w:t>湖北省预算绩效评价报告</w:t>
      </w:r>
    </w:p>
    <w:p>
      <w:pPr>
        <w:spacing w:line="640" w:lineRule="exact"/>
        <w:ind w:firstLine="3840" w:firstLineChars="1200"/>
        <w:jc w:val="both"/>
        <w:rPr>
          <w:rFonts w:ascii="方正小标宋_GBK" w:hAnsi="方正小标宋_GBK" w:eastAsia="方正小标宋_GBK" w:cs="方正小标宋_GBK"/>
          <w:color w:val="auto"/>
          <w:sz w:val="36"/>
          <w:szCs w:val="36"/>
          <w:highlight w:val="none"/>
        </w:rPr>
      </w:pPr>
      <w:r>
        <w:rPr>
          <w:rFonts w:hint="eastAsia" w:ascii="楷体" w:hAnsi="楷体" w:eastAsia="楷体" w:cs="仿宋"/>
          <w:color w:val="auto"/>
          <w:sz w:val="32"/>
          <w:szCs w:val="32"/>
          <w:highlight w:val="none"/>
        </w:rPr>
        <w:t>（</w:t>
      </w:r>
      <w:r>
        <w:rPr>
          <w:rFonts w:hint="eastAsia" w:ascii="楷体" w:hAnsi="楷体" w:eastAsia="楷体" w:cs="仿宋"/>
          <w:color w:val="auto"/>
          <w:sz w:val="32"/>
          <w:szCs w:val="32"/>
          <w:highlight w:val="none"/>
          <w:lang w:val="en-US" w:eastAsia="zh-CN"/>
        </w:rPr>
        <w:t>专业</w:t>
      </w:r>
      <w:r>
        <w:rPr>
          <w:rFonts w:hint="eastAsia" w:ascii="楷体" w:hAnsi="楷体" w:eastAsia="楷体" w:cs="仿宋"/>
          <w:color w:val="auto"/>
          <w:sz w:val="32"/>
          <w:szCs w:val="32"/>
          <w:highlight w:val="none"/>
        </w:rPr>
        <w:t>版）</w:t>
      </w:r>
    </w:p>
    <w:p>
      <w:pPr>
        <w:spacing w:line="640" w:lineRule="exact"/>
        <w:rPr>
          <w:rFonts w:ascii="方正小标宋_GBK" w:hAnsi="方正小标宋_GBK" w:eastAsia="方正小标宋_GBK" w:cs="方正小标宋_GBK"/>
          <w:color w:val="auto"/>
          <w:sz w:val="36"/>
          <w:szCs w:val="36"/>
          <w:highlight w:val="none"/>
        </w:rPr>
      </w:pPr>
    </w:p>
    <w:p>
      <w:pPr>
        <w:spacing w:line="640" w:lineRule="exact"/>
        <w:ind w:firstLine="320" w:firstLineChars="1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报告名称：</w:t>
      </w:r>
      <w:r>
        <w:rPr>
          <w:rFonts w:hint="eastAsia" w:ascii="仿宋_GB2312" w:hAnsi="仿宋_GB2312" w:eastAsia="仿宋_GB2312" w:cs="仿宋_GB2312"/>
          <w:color w:val="auto"/>
          <w:sz w:val="32"/>
          <w:szCs w:val="32"/>
          <w:highlight w:val="none"/>
          <w:u w:val="single"/>
          <w:lang w:eastAsia="zh-CN"/>
        </w:rPr>
        <w:t>市政维护道路及管网项目</w:t>
      </w:r>
      <w:r>
        <w:rPr>
          <w:rFonts w:hint="eastAsia" w:ascii="仿宋_GB2312" w:hAnsi="仿宋_GB2312" w:eastAsia="仿宋_GB2312" w:cs="仿宋_GB2312"/>
          <w:color w:val="auto"/>
          <w:sz w:val="32"/>
          <w:szCs w:val="32"/>
          <w:highlight w:val="none"/>
          <w:u w:val="single"/>
          <w:lang w:val="en-US" w:eastAsia="zh-CN"/>
        </w:rPr>
        <w:t>绩效评价</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u w:val="none"/>
        </w:rPr>
        <w:t xml:space="preserve"> </w:t>
      </w:r>
    </w:p>
    <w:p>
      <w:pPr>
        <w:spacing w:line="640" w:lineRule="exact"/>
        <w:ind w:firstLine="320" w:firstLineChars="100"/>
        <w:rPr>
          <w:rFonts w:hint="eastAsia" w:ascii="仿宋_GB2312" w:hAnsi="仿宋_GB2312" w:eastAsia="仿宋_GB2312" w:cs="仿宋_GB2312"/>
          <w:color w:val="auto"/>
          <w:sz w:val="32"/>
          <w:szCs w:val="32"/>
          <w:highlight w:val="none"/>
          <w:u w:val="single"/>
          <w:lang w:eastAsia="zh-CN"/>
        </w:rPr>
      </w:pPr>
      <w:r>
        <w:rPr>
          <w:rFonts w:hint="eastAsia" w:ascii="仿宋_GB2312" w:hAnsi="仿宋_GB2312" w:eastAsia="仿宋_GB2312" w:cs="仿宋_GB2312"/>
          <w:color w:val="auto"/>
          <w:sz w:val="32"/>
          <w:szCs w:val="32"/>
          <w:highlight w:val="none"/>
        </w:rPr>
        <w:t>预算部门：</w:t>
      </w:r>
      <w:r>
        <w:rPr>
          <w:rFonts w:hint="eastAsia" w:ascii="仿宋_GB2312" w:hAnsi="仿宋_GB2312" w:eastAsia="仿宋_GB2312" w:cs="仿宋_GB2312"/>
          <w:color w:val="auto"/>
          <w:sz w:val="32"/>
          <w:szCs w:val="32"/>
          <w:highlight w:val="none"/>
          <w:u w:val="single"/>
          <w:lang w:eastAsia="zh-CN"/>
        </w:rPr>
        <w:t>黄石市</w:t>
      </w:r>
      <w:r>
        <w:rPr>
          <w:rFonts w:hint="eastAsia" w:ascii="仿宋_GB2312" w:hAnsi="仿宋_GB2312" w:eastAsia="仿宋_GB2312" w:cs="仿宋_GB2312"/>
          <w:color w:val="auto"/>
          <w:sz w:val="32"/>
          <w:szCs w:val="32"/>
          <w:highlight w:val="none"/>
          <w:u w:val="single"/>
          <w:lang w:val="en-US" w:eastAsia="zh-CN"/>
        </w:rPr>
        <w:t>下陆区城市管理执法局</w:t>
      </w:r>
    </w:p>
    <w:p>
      <w:pPr>
        <w:spacing w:line="640" w:lineRule="exact"/>
        <w:ind w:firstLine="320" w:firstLineChars="1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预算年度：</w:t>
      </w:r>
      <w:r>
        <w:rPr>
          <w:rFonts w:hint="eastAsia" w:ascii="仿宋_GB2312" w:hAnsi="仿宋_GB2312" w:eastAsia="仿宋_GB2312" w:cs="仿宋_GB2312"/>
          <w:color w:val="auto"/>
          <w:sz w:val="32"/>
          <w:szCs w:val="32"/>
          <w:highlight w:val="none"/>
          <w:u w:val="single"/>
          <w:lang w:eastAsia="zh-CN"/>
        </w:rPr>
        <w:t>202</w:t>
      </w:r>
      <w:r>
        <w:rPr>
          <w:rFonts w:hint="eastAsia" w:ascii="仿宋_GB2312" w:hAnsi="仿宋_GB2312" w:eastAsia="仿宋_GB2312" w:cs="仿宋_GB2312"/>
          <w:color w:val="auto"/>
          <w:sz w:val="32"/>
          <w:szCs w:val="32"/>
          <w:highlight w:val="none"/>
          <w:u w:val="single"/>
          <w:lang w:val="en-US" w:eastAsia="zh-CN"/>
        </w:rPr>
        <w:t>2</w:t>
      </w:r>
      <w:r>
        <w:rPr>
          <w:rFonts w:hint="eastAsia" w:ascii="仿宋_GB2312" w:hAnsi="仿宋_GB2312" w:eastAsia="仿宋_GB2312" w:cs="仿宋_GB2312"/>
          <w:color w:val="auto"/>
          <w:sz w:val="32"/>
          <w:szCs w:val="32"/>
          <w:highlight w:val="none"/>
          <w:u w:val="single"/>
          <w:lang w:eastAsia="zh-CN"/>
        </w:rPr>
        <w:t>年</w:t>
      </w:r>
      <w:r>
        <w:rPr>
          <w:rFonts w:hint="eastAsia" w:ascii="仿宋_GB2312" w:hAnsi="仿宋_GB2312" w:eastAsia="仿宋_GB2312" w:cs="仿宋_GB2312"/>
          <w:color w:val="auto"/>
          <w:sz w:val="32"/>
          <w:szCs w:val="32"/>
          <w:highlight w:val="none"/>
          <w:u w:val="single"/>
        </w:rPr>
        <w:t>度</w:t>
      </w:r>
      <w:r>
        <w:rPr>
          <w:rFonts w:hint="eastAsia" w:ascii="仿宋_GB2312" w:hAnsi="仿宋_GB2312" w:eastAsia="仿宋_GB2312" w:cs="仿宋_GB2312"/>
          <w:color w:val="auto"/>
          <w:sz w:val="32"/>
          <w:szCs w:val="32"/>
          <w:highlight w:val="none"/>
          <w:u w:val="none"/>
        </w:rPr>
        <w:t xml:space="preserve"> </w:t>
      </w:r>
      <w:r>
        <w:rPr>
          <w:rFonts w:hint="eastAsia" w:ascii="仿宋_GB2312" w:hAnsi="仿宋_GB2312" w:eastAsia="仿宋_GB2312" w:cs="仿宋_GB2312"/>
          <w:color w:val="auto"/>
          <w:sz w:val="32"/>
          <w:szCs w:val="32"/>
          <w:highlight w:val="none"/>
        </w:rPr>
        <w:t xml:space="preserve">                     </w:t>
      </w:r>
    </w:p>
    <w:p>
      <w:pPr>
        <w:spacing w:line="640" w:lineRule="exact"/>
        <w:ind w:firstLine="320" w:firstLineChars="1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评价类型：项目</w:t>
      </w:r>
      <w:r>
        <w:rPr>
          <w:rFonts w:hint="eastAsia" w:ascii="仿宋_GB2312" w:hAnsi="仿宋_GB2312" w:eastAsia="仿宋_GB2312" w:cs="仿宋_GB2312"/>
          <w:color w:val="auto"/>
          <w:sz w:val="32"/>
          <w:szCs w:val="32"/>
          <w:highlight w:val="none"/>
        </w:rPr>
        <w:sym w:font="Wingdings 2" w:char="0052"/>
      </w:r>
      <w:r>
        <w:rPr>
          <w:rFonts w:hint="eastAsia" w:ascii="仿宋_GB2312" w:hAnsi="仿宋_GB2312" w:eastAsia="仿宋_GB2312" w:cs="仿宋_GB2312"/>
          <w:color w:val="auto"/>
          <w:sz w:val="32"/>
          <w:szCs w:val="32"/>
          <w:highlight w:val="none"/>
        </w:rPr>
        <w:t xml:space="preserve">   政策□    部门整体□ </w:t>
      </w:r>
    </w:p>
    <w:p>
      <w:pPr>
        <w:spacing w:line="640" w:lineRule="exact"/>
        <w:ind w:firstLine="320" w:firstLineChars="100"/>
        <w:rPr>
          <w:rFonts w:ascii="仿宋_GB2312" w:hAnsi="仿宋_GB2312" w:eastAsia="仿宋_GB2312" w:cs="仿宋_GB2312"/>
          <w:color w:val="auto"/>
          <w:sz w:val="32"/>
          <w:szCs w:val="32"/>
          <w:highlight w:val="none"/>
        </w:rPr>
      </w:pPr>
    </w:p>
    <w:p>
      <w:pPr>
        <w:spacing w:line="640" w:lineRule="exact"/>
        <w:ind w:firstLine="320" w:firstLineChars="100"/>
        <w:rPr>
          <w:rFonts w:ascii="仿宋_GB2312" w:hAnsi="仿宋_GB2312" w:eastAsia="仿宋_GB2312" w:cs="仿宋_GB2312"/>
          <w:color w:val="auto"/>
          <w:sz w:val="32"/>
          <w:szCs w:val="32"/>
          <w:highlight w:val="none"/>
        </w:rPr>
      </w:pPr>
    </w:p>
    <w:p>
      <w:pPr>
        <w:spacing w:line="640" w:lineRule="exact"/>
        <w:ind w:firstLine="320" w:firstLineChars="1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评价单位：</w:t>
      </w:r>
      <w:r>
        <w:rPr>
          <w:rFonts w:hint="eastAsia" w:ascii="仿宋_GB2312" w:hAnsi="仿宋_GB2312" w:eastAsia="仿宋_GB2312" w:cs="仿宋_GB2312"/>
          <w:color w:val="auto"/>
          <w:sz w:val="32"/>
          <w:szCs w:val="32"/>
          <w:highlight w:val="none"/>
          <w:u w:val="single"/>
          <w:lang w:val="en-US" w:eastAsia="zh-CN"/>
        </w:rPr>
        <w:t>湖北玖誉房地产评估有限</w:t>
      </w:r>
      <w:r>
        <w:rPr>
          <w:rFonts w:hint="eastAsia" w:ascii="仿宋_GB2312" w:hAnsi="仿宋_GB2312" w:eastAsia="仿宋_GB2312" w:cs="仿宋_GB2312"/>
          <w:color w:val="auto"/>
          <w:sz w:val="32"/>
          <w:szCs w:val="32"/>
          <w:highlight w:val="none"/>
          <w:u w:val="single"/>
        </w:rPr>
        <w:t>公司</w:t>
      </w:r>
      <w:r>
        <w:rPr>
          <w:rFonts w:hint="eastAsia" w:ascii="仿宋_GB2312" w:hAnsi="仿宋_GB2312" w:eastAsia="仿宋_GB2312" w:cs="仿宋_GB2312"/>
          <w:color w:val="auto"/>
          <w:sz w:val="32"/>
          <w:szCs w:val="32"/>
          <w:highlight w:val="none"/>
        </w:rPr>
        <w:t xml:space="preserve">              </w:t>
      </w:r>
    </w:p>
    <w:p>
      <w:pPr>
        <w:spacing w:line="640" w:lineRule="exact"/>
        <w:ind w:firstLine="320" w:firstLineChars="1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主评人1：</w:t>
      </w:r>
      <w:r>
        <w:rPr>
          <w:rFonts w:hint="eastAsia" w:ascii="仿宋_GB2312" w:hAnsi="仿宋_GB2312" w:eastAsia="仿宋_GB2312" w:cs="仿宋_GB2312"/>
          <w:color w:val="auto"/>
          <w:sz w:val="32"/>
          <w:szCs w:val="32"/>
          <w:highlight w:val="none"/>
          <w:u w:val="single"/>
        </w:rPr>
        <w:t xml:space="preserve">                          </w:t>
      </w:r>
    </w:p>
    <w:p>
      <w:pPr>
        <w:spacing w:line="640" w:lineRule="exact"/>
        <w:ind w:firstLine="320" w:firstLineChars="100"/>
        <w:rPr>
          <w:rFonts w:ascii="仿宋_GB2312" w:hAnsi="仿宋_GB2312" w:eastAsia="仿宋_GB2312" w:cs="仿宋_GB2312"/>
          <w:color w:val="auto"/>
          <w:sz w:val="32"/>
          <w:szCs w:val="32"/>
          <w:highlight w:val="none"/>
          <w:u w:val="single"/>
        </w:rPr>
      </w:pPr>
      <w:r>
        <w:rPr>
          <w:rFonts w:hint="eastAsia" w:ascii="仿宋_GB2312" w:hAnsi="仿宋_GB2312" w:eastAsia="仿宋_GB2312" w:cs="仿宋_GB2312"/>
          <w:color w:val="auto"/>
          <w:sz w:val="32"/>
          <w:szCs w:val="32"/>
          <w:highlight w:val="none"/>
        </w:rPr>
        <w:t>主评人2：</w:t>
      </w:r>
      <w:r>
        <w:rPr>
          <w:rFonts w:hint="eastAsia" w:ascii="仿宋_GB2312" w:hAnsi="仿宋_GB2312" w:eastAsia="仿宋_GB2312" w:cs="仿宋_GB2312"/>
          <w:color w:val="auto"/>
          <w:sz w:val="32"/>
          <w:szCs w:val="32"/>
          <w:highlight w:val="none"/>
          <w:u w:val="single"/>
        </w:rPr>
        <w:t xml:space="preserve">                          </w:t>
      </w:r>
    </w:p>
    <w:p>
      <w:pPr>
        <w:spacing w:line="640" w:lineRule="exact"/>
        <w:ind w:firstLine="320" w:firstLineChars="1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专    家：</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none"/>
        </w:rPr>
        <w:t xml:space="preserve">     </w:t>
      </w:r>
    </w:p>
    <w:p>
      <w:pPr>
        <w:spacing w:line="560" w:lineRule="atLeast"/>
        <w:ind w:firstLine="320" w:firstLineChars="100"/>
        <w:rPr>
          <w:rFonts w:ascii="仿宋" w:hAnsi="仿宋" w:cs="仿宋"/>
          <w:color w:val="auto"/>
          <w:sz w:val="32"/>
          <w:szCs w:val="32"/>
          <w:highlight w:val="none"/>
          <w:u w:val="none"/>
        </w:rPr>
      </w:pPr>
      <w:r>
        <w:rPr>
          <w:rFonts w:hint="eastAsia" w:ascii="仿宋_GB2312" w:hAnsi="仿宋_GB2312" w:eastAsia="仿宋_GB2312" w:cs="仿宋_GB2312"/>
          <w:color w:val="auto"/>
          <w:sz w:val="32"/>
          <w:szCs w:val="32"/>
          <w:highlight w:val="none"/>
        </w:rPr>
        <w:t>正式提交日期：</w:t>
      </w:r>
      <w:r>
        <w:rPr>
          <w:rFonts w:hint="eastAsia" w:ascii="仿宋_GB2312" w:hAnsi="仿宋_GB2312" w:eastAsia="仿宋_GB2312" w:cs="仿宋_GB2312"/>
          <w:color w:val="auto"/>
          <w:sz w:val="32"/>
          <w:szCs w:val="32"/>
          <w:highlight w:val="none"/>
          <w:u w:val="single"/>
        </w:rPr>
        <w:t xml:space="preserve"> </w:t>
      </w:r>
      <w:r>
        <w:rPr>
          <w:rFonts w:hint="eastAsia" w:ascii="仿宋" w:hAnsi="仿宋" w:cs="仿宋"/>
          <w:color w:val="auto"/>
          <w:sz w:val="32"/>
          <w:szCs w:val="32"/>
          <w:highlight w:val="none"/>
          <w:u w:val="single"/>
        </w:rPr>
        <w:t>二〇二</w:t>
      </w:r>
      <w:r>
        <w:rPr>
          <w:rFonts w:hint="eastAsia" w:ascii="仿宋" w:hAnsi="仿宋" w:cs="仿宋"/>
          <w:color w:val="auto"/>
          <w:sz w:val="32"/>
          <w:szCs w:val="32"/>
          <w:highlight w:val="none"/>
          <w:u w:val="single"/>
          <w:lang w:val="en-US" w:eastAsia="zh-CN"/>
        </w:rPr>
        <w:t>三</w:t>
      </w:r>
      <w:r>
        <w:rPr>
          <w:rFonts w:hint="eastAsia" w:ascii="仿宋" w:hAnsi="仿宋" w:cs="仿宋"/>
          <w:color w:val="auto"/>
          <w:sz w:val="32"/>
          <w:szCs w:val="32"/>
          <w:highlight w:val="none"/>
          <w:u w:val="single"/>
        </w:rPr>
        <w:t>年</w:t>
      </w:r>
      <w:r>
        <w:rPr>
          <w:rFonts w:hint="eastAsia" w:ascii="仿宋" w:hAnsi="仿宋" w:cs="仿宋"/>
          <w:color w:val="auto"/>
          <w:sz w:val="32"/>
          <w:szCs w:val="32"/>
          <w:highlight w:val="none"/>
          <w:u w:val="single"/>
          <w:lang w:val="en-US" w:eastAsia="zh-CN"/>
        </w:rPr>
        <w:t>八</w:t>
      </w:r>
      <w:r>
        <w:rPr>
          <w:rFonts w:hint="eastAsia" w:ascii="仿宋" w:hAnsi="仿宋" w:cs="仿宋"/>
          <w:color w:val="auto"/>
          <w:sz w:val="32"/>
          <w:szCs w:val="32"/>
          <w:highlight w:val="none"/>
          <w:u w:val="single"/>
        </w:rPr>
        <w:t>月</w:t>
      </w:r>
      <w:r>
        <w:rPr>
          <w:rFonts w:hint="eastAsia" w:ascii="仿宋" w:hAnsi="仿宋" w:cs="仿宋"/>
          <w:color w:val="auto"/>
          <w:sz w:val="32"/>
          <w:szCs w:val="32"/>
          <w:highlight w:val="none"/>
          <w:u w:val="single"/>
          <w:lang w:val="en-US" w:eastAsia="zh-CN"/>
        </w:rPr>
        <w:t>三十</w:t>
      </w:r>
      <w:r>
        <w:rPr>
          <w:rFonts w:hint="eastAsia" w:ascii="仿宋" w:hAnsi="仿宋" w:cs="仿宋"/>
          <w:color w:val="auto"/>
          <w:sz w:val="32"/>
          <w:szCs w:val="32"/>
          <w:highlight w:val="none"/>
          <w:u w:val="single"/>
        </w:rPr>
        <w:t xml:space="preserve">日  </w:t>
      </w:r>
      <w:r>
        <w:rPr>
          <w:rFonts w:hint="eastAsia" w:ascii="仿宋" w:hAnsi="仿宋" w:cs="仿宋"/>
          <w:color w:val="auto"/>
          <w:sz w:val="32"/>
          <w:szCs w:val="32"/>
          <w:highlight w:val="none"/>
          <w:u w:val="none"/>
        </w:rPr>
        <w:t xml:space="preserve">     </w:t>
      </w:r>
    </w:p>
    <w:p>
      <w:pPr>
        <w:spacing w:line="560" w:lineRule="exact"/>
        <w:jc w:val="center"/>
        <w:rPr>
          <w:rFonts w:ascii="方正小标宋_GBK" w:hAnsi="方正小标宋_GBK" w:eastAsia="方正小标宋_GBK" w:cs="方正小标宋_GBK"/>
          <w:color w:val="auto"/>
          <w:sz w:val="36"/>
          <w:szCs w:val="36"/>
          <w:highlight w:val="none"/>
          <w:u w:val="none"/>
        </w:rPr>
        <w:sectPr>
          <w:footerReference r:id="rId5" w:type="first"/>
          <w:pgSz w:w="11906" w:h="16838"/>
          <w:pgMar w:top="2098" w:right="1474" w:bottom="1984" w:left="1587" w:header="851" w:footer="992" w:gutter="0"/>
          <w:pgNumType w:fmt="numberInDash" w:start="1"/>
          <w:cols w:space="425" w:num="1"/>
          <w:docGrid w:type="lines" w:linePitch="312" w:charSpace="0"/>
        </w:sectPr>
      </w:pPr>
      <w:bookmarkStart w:id="0" w:name="_Toc47455076"/>
      <w:bookmarkStart w:id="1" w:name="_Toc14277226"/>
      <w:bookmarkStart w:id="2" w:name="_Toc48235528"/>
      <w:bookmarkStart w:id="3" w:name="_Toc520282421"/>
    </w:p>
    <w:p>
      <w:pPr>
        <w:keepNext w:val="0"/>
        <w:keepLines w:val="0"/>
        <w:pageBreakBefore w:val="0"/>
        <w:widowControl w:val="0"/>
        <w:kinsoku/>
        <w:wordWrap/>
        <w:overflowPunct/>
        <w:topLinePunct w:val="0"/>
        <w:autoSpaceDE/>
        <w:autoSpaceDN/>
        <w:bidi w:val="0"/>
        <w:adjustRightInd/>
        <w:snapToGrid/>
        <w:spacing w:line="560" w:lineRule="atLeast"/>
        <w:jc w:val="center"/>
        <w:textAlignment w:val="auto"/>
        <w:rPr>
          <w:rFonts w:hint="eastAsia" w:ascii="仿宋" w:hAnsi="仿宋" w:cs="仿宋"/>
          <w:color w:val="auto"/>
          <w:sz w:val="36"/>
          <w:szCs w:val="36"/>
          <w:highlight w:val="none"/>
          <w:lang w:eastAsia="zh-CN"/>
        </w:rPr>
      </w:pPr>
      <w:r>
        <w:rPr>
          <w:rFonts w:hint="eastAsia" w:ascii="方正小标宋_GBK" w:hAnsi="方正小标宋_GBK" w:eastAsia="方正小标宋_GBK" w:cs="方正小标宋_GBK"/>
          <w:color w:val="auto"/>
          <w:sz w:val="36"/>
          <w:szCs w:val="36"/>
          <w:highlight w:val="none"/>
          <w:lang w:eastAsia="zh-CN"/>
        </w:rPr>
        <w:t>黄石市下陆区市政维护道路及管网项目</w:t>
      </w:r>
    </w:p>
    <w:p>
      <w:pPr>
        <w:keepNext w:val="0"/>
        <w:keepLines w:val="0"/>
        <w:pageBreakBefore w:val="0"/>
        <w:widowControl w:val="0"/>
        <w:kinsoku/>
        <w:wordWrap/>
        <w:overflowPunct/>
        <w:topLinePunct w:val="0"/>
        <w:autoSpaceDE/>
        <w:autoSpaceDN/>
        <w:bidi w:val="0"/>
        <w:adjustRightInd/>
        <w:snapToGrid/>
        <w:spacing w:line="560" w:lineRule="atLeast"/>
        <w:jc w:val="center"/>
        <w:textAlignment w:val="auto"/>
        <w:rPr>
          <w:rFonts w:ascii="方正小标宋_GBK" w:hAnsi="方正小标宋_GBK" w:eastAsia="方正小标宋_GBK" w:cs="方正小标宋_GBK"/>
          <w:color w:val="auto"/>
          <w:sz w:val="36"/>
          <w:szCs w:val="36"/>
          <w:highlight w:val="none"/>
        </w:rPr>
      </w:pPr>
      <w:r>
        <w:rPr>
          <w:rFonts w:hint="eastAsia" w:ascii="方正小标宋_GBK" w:hAnsi="方正小标宋_GBK" w:eastAsia="方正小标宋_GBK" w:cs="方正小标宋_GBK"/>
          <w:color w:val="auto"/>
          <w:sz w:val="36"/>
          <w:szCs w:val="36"/>
          <w:highlight w:val="none"/>
        </w:rPr>
        <w:t>绩效评价报告</w:t>
      </w:r>
      <w:bookmarkEnd w:id="0"/>
      <w:bookmarkEnd w:id="1"/>
      <w:bookmarkEnd w:id="2"/>
      <w:bookmarkEnd w:id="3"/>
    </w:p>
    <w:p>
      <w:pPr>
        <w:spacing w:line="560" w:lineRule="atLeast"/>
        <w:ind w:firstLine="3520" w:firstLineChars="1100"/>
        <w:jc w:val="both"/>
        <w:rPr>
          <w:rFonts w:ascii="仿宋" w:hAnsi="仿宋" w:cs="仿宋"/>
          <w:color w:val="auto"/>
          <w:sz w:val="32"/>
          <w:szCs w:val="32"/>
          <w:highlight w:val="none"/>
        </w:rPr>
      </w:pPr>
      <w:r>
        <w:rPr>
          <w:rFonts w:hint="eastAsia" w:ascii="楷体" w:hAnsi="楷体" w:eastAsia="楷体" w:cs="仿宋"/>
          <w:color w:val="auto"/>
          <w:sz w:val="32"/>
          <w:szCs w:val="32"/>
          <w:highlight w:val="none"/>
        </w:rPr>
        <w:t>（</w:t>
      </w:r>
      <w:r>
        <w:rPr>
          <w:rFonts w:hint="eastAsia" w:ascii="楷体" w:hAnsi="楷体" w:eastAsia="楷体" w:cs="仿宋"/>
          <w:color w:val="auto"/>
          <w:sz w:val="32"/>
          <w:szCs w:val="32"/>
          <w:highlight w:val="none"/>
          <w:lang w:val="en-US" w:eastAsia="zh-CN"/>
        </w:rPr>
        <w:t>专业</w:t>
      </w:r>
      <w:r>
        <w:rPr>
          <w:rFonts w:hint="eastAsia" w:ascii="楷体" w:hAnsi="楷体" w:eastAsia="楷体" w:cs="仿宋"/>
          <w:color w:val="auto"/>
          <w:sz w:val="32"/>
          <w:szCs w:val="32"/>
          <w:highlight w:val="none"/>
        </w:rPr>
        <w:t>版）</w:t>
      </w:r>
    </w:p>
    <w:p>
      <w:pPr>
        <w:pStyle w:val="14"/>
        <w:rPr>
          <w:color w:val="auto"/>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lang w:val="en-US" w:eastAsia="zh-CN"/>
        </w:rPr>
        <w:t>湖北玖誉房地产评估有限</w:t>
      </w:r>
      <w:r>
        <w:rPr>
          <w:rFonts w:hint="eastAsia" w:ascii="仿宋" w:hAnsi="仿宋" w:cs="仿宋"/>
          <w:color w:val="auto"/>
          <w:sz w:val="32"/>
          <w:szCs w:val="32"/>
          <w:highlight w:val="none"/>
        </w:rPr>
        <w:t>公司接受黄石市</w:t>
      </w:r>
      <w:r>
        <w:rPr>
          <w:rFonts w:hint="eastAsia" w:ascii="仿宋" w:hAnsi="仿宋" w:cs="仿宋"/>
          <w:color w:val="auto"/>
          <w:sz w:val="32"/>
          <w:szCs w:val="32"/>
          <w:highlight w:val="none"/>
          <w:lang w:val="en-US" w:eastAsia="zh-CN"/>
        </w:rPr>
        <w:t>下陆区</w:t>
      </w:r>
      <w:r>
        <w:rPr>
          <w:rFonts w:hint="eastAsia" w:ascii="仿宋" w:hAnsi="仿宋" w:cs="仿宋"/>
          <w:color w:val="auto"/>
          <w:sz w:val="32"/>
          <w:szCs w:val="32"/>
          <w:highlight w:val="none"/>
        </w:rPr>
        <w:t>财政局的委托，</w:t>
      </w:r>
      <w:r>
        <w:rPr>
          <w:rFonts w:hint="eastAsia" w:ascii="仿宋" w:hAnsi="仿宋" w:cs="仿宋"/>
          <w:color w:val="auto"/>
          <w:kern w:val="0"/>
          <w:sz w:val="32"/>
          <w:szCs w:val="32"/>
          <w:highlight w:val="none"/>
        </w:rPr>
        <w:t>根据《中共中央 国务院关于全面实施预算绩效管理的意见》（中发</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2018</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34号）、《国务院关于加强和规范事中事后监管的指导意见》（国发</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2019</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18号）、《财政部关于贯彻落实&lt;中共中央 国务院关于全面实施预算绩效管理的意见&gt;的通知》（财预</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2018</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167号）、《省财政厅关于推进全面实施预算绩效管理工作的通知》（鄂财绩发</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2019</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10号）、《湖北省财政厅关于印发全面实施预算绩效管理系列制度的通知》(鄂财绩发</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2020</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3号)、《湖北省预算绩效管理地方标准》的要求</w:t>
      </w:r>
      <w:r>
        <w:rPr>
          <w:rFonts w:hint="eastAsia" w:ascii="仿宋" w:hAnsi="仿宋" w:cs="仿宋"/>
          <w:color w:val="auto"/>
          <w:sz w:val="32"/>
          <w:szCs w:val="32"/>
          <w:highlight w:val="none"/>
        </w:rPr>
        <w:t>，</w:t>
      </w:r>
      <w:r>
        <w:rPr>
          <w:rFonts w:hint="eastAsia" w:ascii="仿宋" w:hAnsi="仿宋"/>
          <w:color w:val="auto"/>
          <w:kern w:val="0"/>
          <w:sz w:val="32"/>
          <w:szCs w:val="32"/>
          <w:highlight w:val="none"/>
        </w:rPr>
        <w:t>本着客观、公正、公平的原则</w:t>
      </w:r>
      <w:r>
        <w:rPr>
          <w:rFonts w:hint="eastAsia" w:ascii="仿宋" w:hAnsi="仿宋" w:cs="仿宋"/>
          <w:color w:val="auto"/>
          <w:sz w:val="32"/>
          <w:szCs w:val="32"/>
          <w:highlight w:val="none"/>
        </w:rPr>
        <w:t>，对“</w:t>
      </w:r>
      <w:r>
        <w:rPr>
          <w:rFonts w:hint="eastAsia" w:ascii="仿宋" w:hAnsi="仿宋" w:cs="仿宋"/>
          <w:color w:val="auto"/>
          <w:sz w:val="32"/>
          <w:szCs w:val="32"/>
          <w:highlight w:val="none"/>
          <w:lang w:eastAsia="zh-CN"/>
        </w:rPr>
        <w:t xml:space="preserve"> </w:t>
      </w:r>
      <w:r>
        <w:rPr>
          <w:rFonts w:hint="eastAsia" w:ascii="仿宋" w:hAnsi="仿宋" w:cs="仿宋"/>
          <w:color w:val="auto"/>
          <w:kern w:val="0"/>
          <w:sz w:val="32"/>
          <w:szCs w:val="32"/>
          <w:highlight w:val="none"/>
          <w:lang w:eastAsia="zh-CN"/>
        </w:rPr>
        <w:t>黄石市下陆区市政维护道路及管网项目</w:t>
      </w:r>
      <w:r>
        <w:rPr>
          <w:rFonts w:hint="eastAsia" w:ascii="仿宋" w:hAnsi="仿宋" w:cs="仿宋"/>
          <w:color w:val="auto"/>
          <w:kern w:val="0"/>
          <w:sz w:val="32"/>
          <w:szCs w:val="32"/>
          <w:highlight w:val="none"/>
        </w:rPr>
        <w:t>”</w:t>
      </w:r>
      <w:r>
        <w:rPr>
          <w:rFonts w:hint="eastAsia" w:ascii="仿宋" w:hAnsi="仿宋" w:cs="仿宋"/>
          <w:color w:val="auto"/>
          <w:sz w:val="32"/>
          <w:szCs w:val="32"/>
          <w:highlight w:val="none"/>
        </w:rPr>
        <w:t>的绩效进行了综合考评，</w:t>
      </w:r>
      <w:r>
        <w:rPr>
          <w:rFonts w:hint="eastAsia" w:ascii="仿宋" w:hAnsi="仿宋"/>
          <w:color w:val="auto"/>
          <w:kern w:val="0"/>
          <w:sz w:val="32"/>
          <w:szCs w:val="32"/>
          <w:highlight w:val="none"/>
        </w:rPr>
        <w:t>形成本评价报告</w:t>
      </w:r>
      <w:r>
        <w:rPr>
          <w:rFonts w:hint="eastAsia" w:ascii="仿宋" w:hAnsi="仿宋" w:cs="仿宋"/>
          <w:color w:val="auto"/>
          <w:sz w:val="32"/>
          <w:szCs w:val="32"/>
          <w:highlight w:val="none"/>
        </w:rPr>
        <w:t>。</w:t>
      </w:r>
    </w:p>
    <w:p>
      <w:pPr>
        <w:pStyle w:val="4"/>
        <w:pageBreakBefore w:val="0"/>
        <w:kinsoku/>
        <w:wordWrap/>
        <w:overflowPunct/>
        <w:topLinePunct w:val="0"/>
        <w:autoSpaceDE/>
        <w:autoSpaceDN/>
        <w:bidi w:val="0"/>
        <w:spacing w:before="0" w:after="0" w:line="560" w:lineRule="exact"/>
        <w:ind w:firstLine="643" w:firstLineChars="200"/>
        <w:jc w:val="left"/>
        <w:rPr>
          <w:rFonts w:hint="eastAsia" w:ascii="黑体" w:hAnsi="黑体" w:cs="黑体"/>
          <w:color w:val="auto"/>
          <w:sz w:val="32"/>
          <w:szCs w:val="32"/>
          <w:highlight w:val="none"/>
        </w:rPr>
      </w:pPr>
      <w:bookmarkStart w:id="4" w:name="_Toc31809"/>
    </w:p>
    <w:p>
      <w:pPr>
        <w:pStyle w:val="4"/>
        <w:pageBreakBefore w:val="0"/>
        <w:kinsoku/>
        <w:wordWrap/>
        <w:overflowPunct/>
        <w:topLinePunct w:val="0"/>
        <w:autoSpaceDE/>
        <w:autoSpaceDN/>
        <w:bidi w:val="0"/>
        <w:spacing w:before="0" w:after="0" w:line="560" w:lineRule="exact"/>
        <w:ind w:firstLine="643" w:firstLineChars="200"/>
        <w:jc w:val="left"/>
        <w:rPr>
          <w:rFonts w:ascii="黑体" w:hAnsi="黑体" w:cs="黑体"/>
          <w:color w:val="auto"/>
          <w:sz w:val="32"/>
          <w:szCs w:val="32"/>
          <w:highlight w:val="none"/>
        </w:rPr>
      </w:pPr>
      <w:r>
        <w:rPr>
          <w:rFonts w:hint="eastAsia" w:ascii="黑体" w:hAnsi="黑体" w:cs="黑体"/>
          <w:color w:val="auto"/>
          <w:sz w:val="32"/>
          <w:szCs w:val="32"/>
          <w:highlight w:val="none"/>
        </w:rPr>
        <w:t>一、评价结论</w:t>
      </w:r>
      <w:bookmarkEnd w:id="4"/>
    </w:p>
    <w:p>
      <w:pPr>
        <w:pageBreakBefore w:val="0"/>
        <w:kinsoku/>
        <w:wordWrap/>
        <w:overflowPunct/>
        <w:topLinePunct w:val="0"/>
        <w:autoSpaceDE/>
        <w:autoSpaceDN/>
        <w:bidi w:val="0"/>
        <w:spacing w:line="560" w:lineRule="exact"/>
        <w:ind w:firstLine="640" w:firstLineChars="200"/>
        <w:rPr>
          <w:rFonts w:ascii="楷体" w:hAnsi="楷体" w:eastAsia="楷体" w:cs="楷体"/>
          <w:color w:val="auto"/>
          <w:sz w:val="32"/>
          <w:szCs w:val="32"/>
          <w:highlight w:val="none"/>
        </w:rPr>
      </w:pPr>
      <w:bookmarkStart w:id="5" w:name="_Toc26098"/>
      <w:r>
        <w:rPr>
          <w:rFonts w:hint="eastAsia" w:ascii="楷体" w:hAnsi="楷体" w:eastAsia="楷体" w:cs="楷体"/>
          <w:color w:val="auto"/>
          <w:sz w:val="32"/>
          <w:szCs w:val="32"/>
          <w:highlight w:val="none"/>
        </w:rPr>
        <w:t>（一）评价分数和等级</w:t>
      </w:r>
      <w:bookmarkEnd w:id="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cs="仿宋"/>
          <w:color w:val="auto"/>
          <w:sz w:val="32"/>
          <w:szCs w:val="32"/>
          <w:highlight w:val="none"/>
        </w:rPr>
      </w:pPr>
      <w:r>
        <w:rPr>
          <w:rFonts w:hint="eastAsia" w:ascii="仿宋" w:hAnsi="仿宋" w:cs="仿宋"/>
          <w:color w:val="auto"/>
          <w:kern w:val="0"/>
          <w:sz w:val="32"/>
          <w:szCs w:val="32"/>
          <w:highlight w:val="none"/>
          <w:lang w:eastAsia="zh-CN"/>
        </w:rPr>
        <w:t>黄石市下陆区市政维护道路及管网项目</w:t>
      </w:r>
      <w:r>
        <w:rPr>
          <w:rFonts w:hint="eastAsia" w:ascii="仿宋" w:hAnsi="仿宋"/>
          <w:color w:val="auto"/>
          <w:kern w:val="0"/>
          <w:sz w:val="32"/>
          <w:szCs w:val="32"/>
          <w:highlight w:val="none"/>
        </w:rPr>
        <w:t>绩效评价得分</w:t>
      </w:r>
      <w:r>
        <w:rPr>
          <w:rFonts w:hint="eastAsia" w:ascii="仿宋" w:hAnsi="仿宋" w:cs="仿宋"/>
          <w:color w:val="auto"/>
          <w:sz w:val="32"/>
          <w:szCs w:val="32"/>
          <w:highlight w:val="none"/>
          <w:lang w:val="en-US" w:eastAsia="zh-CN"/>
        </w:rPr>
        <w:t>84.67</w:t>
      </w:r>
      <w:r>
        <w:rPr>
          <w:rFonts w:hint="eastAsia" w:ascii="仿宋" w:hAnsi="仿宋" w:cs="仿宋"/>
          <w:color w:val="auto"/>
          <w:sz w:val="32"/>
          <w:szCs w:val="32"/>
          <w:highlight w:val="none"/>
        </w:rPr>
        <w:t>分，</w:t>
      </w:r>
      <w:r>
        <w:rPr>
          <w:rFonts w:hint="eastAsia" w:ascii="仿宋" w:hAnsi="仿宋"/>
          <w:color w:val="auto"/>
          <w:kern w:val="0"/>
          <w:sz w:val="32"/>
          <w:szCs w:val="32"/>
          <w:highlight w:val="none"/>
        </w:rPr>
        <w:t>评价等级为</w:t>
      </w:r>
      <w:r>
        <w:rPr>
          <w:rFonts w:hint="eastAsia" w:ascii="仿宋" w:hAnsi="仿宋"/>
          <w:color w:val="auto"/>
          <w:kern w:val="0"/>
          <w:sz w:val="32"/>
          <w:szCs w:val="32"/>
          <w:highlight w:val="none"/>
          <w:lang w:eastAsia="zh-CN"/>
        </w:rPr>
        <w:t>良</w:t>
      </w:r>
      <w:r>
        <w:rPr>
          <w:rFonts w:hint="eastAsia" w:ascii="仿宋" w:hAnsi="仿宋" w:cs="仿宋"/>
          <w:color w:val="auto"/>
          <w:sz w:val="32"/>
          <w:szCs w:val="32"/>
          <w:highlight w:val="none"/>
        </w:rPr>
        <w:t>，评分详情见下表：</w:t>
      </w:r>
    </w:p>
    <w:tbl>
      <w:tblPr>
        <w:tblStyle w:val="24"/>
        <w:tblW w:w="5000" w:type="pct"/>
        <w:tblInd w:w="0" w:type="dxa"/>
        <w:tblLayout w:type="autofit"/>
        <w:tblCellMar>
          <w:top w:w="15" w:type="dxa"/>
          <w:left w:w="15" w:type="dxa"/>
          <w:bottom w:w="15" w:type="dxa"/>
          <w:right w:w="15" w:type="dxa"/>
        </w:tblCellMar>
      </w:tblPr>
      <w:tblGrid>
        <w:gridCol w:w="1523"/>
        <w:gridCol w:w="1155"/>
        <w:gridCol w:w="1374"/>
        <w:gridCol w:w="1509"/>
        <w:gridCol w:w="1796"/>
        <w:gridCol w:w="1518"/>
      </w:tblGrid>
      <w:tr>
        <w:tblPrEx>
          <w:tblCellMar>
            <w:top w:w="15" w:type="dxa"/>
            <w:left w:w="15" w:type="dxa"/>
            <w:bottom w:w="15" w:type="dxa"/>
            <w:right w:w="15" w:type="dxa"/>
          </w:tblCellMar>
        </w:tblPrEx>
        <w:trPr>
          <w:trHeight w:val="567" w:hRule="exact"/>
          <w:tblHeader/>
        </w:trPr>
        <w:tc>
          <w:tcPr>
            <w:tcW w:w="867"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2" w:firstLineChars="200"/>
              <w:jc w:val="center"/>
              <w:textAlignment w:val="center"/>
              <w:rPr>
                <w:rFonts w:ascii="仿宋" w:hAnsi="仿宋" w:cs="Times New Roman"/>
                <w:b/>
                <w:color w:val="auto"/>
                <w:kern w:val="0"/>
                <w:sz w:val="28"/>
                <w:szCs w:val="28"/>
                <w:highlight w:val="none"/>
              </w:rPr>
            </w:pPr>
            <w:bookmarkStart w:id="6" w:name="_Toc45724240"/>
            <w:bookmarkStart w:id="7" w:name="_Toc26189"/>
            <w:bookmarkStart w:id="8" w:name="_Toc19502"/>
            <w:bookmarkStart w:id="9" w:name="_Toc11812"/>
            <w:r>
              <w:rPr>
                <w:rFonts w:ascii="仿宋" w:hAnsi="仿宋" w:cs="Times New Roman"/>
                <w:b/>
                <w:color w:val="auto"/>
                <w:kern w:val="0"/>
                <w:sz w:val="28"/>
                <w:szCs w:val="28"/>
                <w:highlight w:val="none"/>
              </w:rPr>
              <w:t>评价指标</w:t>
            </w:r>
          </w:p>
        </w:tc>
        <w:tc>
          <w:tcPr>
            <w:tcW w:w="60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2" w:firstLineChars="200"/>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权重</w:t>
            </w:r>
          </w:p>
        </w:tc>
        <w:tc>
          <w:tcPr>
            <w:tcW w:w="78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2" w:firstLineChars="200"/>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评级分值</w:t>
            </w:r>
          </w:p>
        </w:tc>
        <w:tc>
          <w:tcPr>
            <w:tcW w:w="859"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2" w:firstLineChars="200"/>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项目得分</w:t>
            </w:r>
          </w:p>
        </w:tc>
        <w:tc>
          <w:tcPr>
            <w:tcW w:w="1021"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2" w:firstLineChars="200"/>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得分率</w:t>
            </w:r>
          </w:p>
        </w:tc>
        <w:tc>
          <w:tcPr>
            <w:tcW w:w="864"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2" w:firstLineChars="200"/>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评价级别</w:t>
            </w:r>
          </w:p>
        </w:tc>
      </w:tr>
      <w:tr>
        <w:tblPrEx>
          <w:tblCellMar>
            <w:top w:w="15" w:type="dxa"/>
            <w:left w:w="15" w:type="dxa"/>
            <w:bottom w:w="15" w:type="dxa"/>
            <w:right w:w="15" w:type="dxa"/>
          </w:tblCellMar>
        </w:tblPrEx>
        <w:trPr>
          <w:trHeight w:val="567" w:hRule="exact"/>
        </w:trPr>
        <w:tc>
          <w:tcPr>
            <w:tcW w:w="867"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ascii="仿宋" w:hAnsi="仿宋" w:cs="Times New Roman"/>
                <w:color w:val="auto"/>
                <w:kern w:val="0"/>
                <w:sz w:val="28"/>
                <w:szCs w:val="28"/>
                <w:highlight w:val="none"/>
              </w:rPr>
            </w:pPr>
            <w:r>
              <w:rPr>
                <w:rFonts w:ascii="仿宋" w:hAnsi="仿宋" w:cs="Times New Roman"/>
                <w:color w:val="auto"/>
                <w:kern w:val="0"/>
                <w:sz w:val="28"/>
                <w:szCs w:val="28"/>
                <w:highlight w:val="none"/>
              </w:rPr>
              <w:t>项目决策</w:t>
            </w:r>
          </w:p>
        </w:tc>
        <w:tc>
          <w:tcPr>
            <w:tcW w:w="60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ascii="仿宋" w:hAnsi="仿宋" w:cs="Times New Roman"/>
                <w:color w:val="auto"/>
                <w:kern w:val="0"/>
                <w:sz w:val="28"/>
                <w:szCs w:val="28"/>
                <w:highlight w:val="none"/>
              </w:rPr>
            </w:pPr>
            <w:r>
              <w:rPr>
                <w:rFonts w:ascii="仿宋" w:hAnsi="仿宋" w:cs="Times New Roman"/>
                <w:color w:val="auto"/>
                <w:kern w:val="0"/>
                <w:sz w:val="28"/>
                <w:szCs w:val="28"/>
                <w:highlight w:val="none"/>
              </w:rPr>
              <w:t>1</w:t>
            </w:r>
            <w:r>
              <w:rPr>
                <w:rFonts w:hint="eastAsia" w:ascii="仿宋" w:hAnsi="仿宋" w:cs="Times New Roman"/>
                <w:color w:val="auto"/>
                <w:kern w:val="0"/>
                <w:sz w:val="28"/>
                <w:szCs w:val="28"/>
                <w:highlight w:val="none"/>
              </w:rPr>
              <w:t>2</w:t>
            </w:r>
            <w:r>
              <w:rPr>
                <w:rFonts w:ascii="仿宋" w:hAnsi="仿宋" w:cs="Times New Roman"/>
                <w:color w:val="auto"/>
                <w:kern w:val="0"/>
                <w:sz w:val="28"/>
                <w:szCs w:val="28"/>
                <w:highlight w:val="none"/>
              </w:rPr>
              <w:t>%</w:t>
            </w:r>
          </w:p>
        </w:tc>
        <w:tc>
          <w:tcPr>
            <w:tcW w:w="78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ascii="仿宋" w:hAnsi="仿宋" w:cs="Times New Roman"/>
                <w:color w:val="auto"/>
                <w:kern w:val="0"/>
                <w:sz w:val="28"/>
                <w:szCs w:val="28"/>
                <w:highlight w:val="none"/>
              </w:rPr>
            </w:pPr>
            <w:r>
              <w:rPr>
                <w:rFonts w:ascii="仿宋" w:hAnsi="仿宋" w:cs="Times New Roman"/>
                <w:color w:val="auto"/>
                <w:kern w:val="0"/>
                <w:sz w:val="28"/>
                <w:szCs w:val="28"/>
                <w:highlight w:val="none"/>
              </w:rPr>
              <w:t>1</w:t>
            </w:r>
            <w:r>
              <w:rPr>
                <w:rFonts w:hint="eastAsia" w:ascii="仿宋" w:hAnsi="仿宋" w:cs="Times New Roman"/>
                <w:color w:val="auto"/>
                <w:kern w:val="0"/>
                <w:sz w:val="28"/>
                <w:szCs w:val="28"/>
                <w:highlight w:val="none"/>
              </w:rPr>
              <w:t>2</w:t>
            </w:r>
          </w:p>
        </w:tc>
        <w:tc>
          <w:tcPr>
            <w:tcW w:w="859"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hint="default" w:ascii="仿宋" w:hAnsi="仿宋" w:cs="Times New Roman"/>
                <w:color w:val="auto"/>
                <w:kern w:val="0"/>
                <w:sz w:val="28"/>
                <w:szCs w:val="28"/>
                <w:highlight w:val="none"/>
                <w:lang w:val="en-US"/>
              </w:rPr>
            </w:pPr>
            <w:r>
              <w:rPr>
                <w:rFonts w:hint="eastAsia" w:ascii="仿宋" w:hAnsi="仿宋" w:cs="Times New Roman"/>
                <w:color w:val="auto"/>
                <w:kern w:val="0"/>
                <w:sz w:val="28"/>
                <w:szCs w:val="28"/>
                <w:highlight w:val="none"/>
                <w:lang w:val="en-US" w:eastAsia="zh-CN"/>
              </w:rPr>
              <w:t>8.50</w:t>
            </w:r>
          </w:p>
        </w:tc>
        <w:tc>
          <w:tcPr>
            <w:tcW w:w="1021"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ascii="仿宋" w:hAnsi="仿宋" w:cs="Times New Roman"/>
                <w:color w:val="auto"/>
                <w:kern w:val="0"/>
                <w:sz w:val="28"/>
                <w:szCs w:val="28"/>
                <w:highlight w:val="none"/>
              </w:rPr>
            </w:pPr>
            <w:r>
              <w:rPr>
                <w:rFonts w:hint="eastAsia" w:ascii="仿宋" w:hAnsi="仿宋" w:cs="Times New Roman"/>
                <w:color w:val="auto"/>
                <w:kern w:val="0"/>
                <w:sz w:val="28"/>
                <w:szCs w:val="28"/>
                <w:highlight w:val="none"/>
                <w:lang w:val="en-US" w:eastAsia="zh-CN"/>
              </w:rPr>
              <w:t>70.83</w:t>
            </w:r>
            <w:r>
              <w:rPr>
                <w:rFonts w:ascii="仿宋" w:hAnsi="仿宋" w:cs="Times New Roman"/>
                <w:color w:val="auto"/>
                <w:kern w:val="0"/>
                <w:sz w:val="28"/>
                <w:szCs w:val="28"/>
                <w:highlight w:val="none"/>
              </w:rPr>
              <w:t>%</w:t>
            </w:r>
          </w:p>
        </w:tc>
        <w:tc>
          <w:tcPr>
            <w:tcW w:w="864"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hint="eastAsia" w:ascii="仿宋" w:hAnsi="仿宋" w:eastAsia="仿宋" w:cs="Times New Roman"/>
                <w:color w:val="auto"/>
                <w:kern w:val="0"/>
                <w:sz w:val="28"/>
                <w:szCs w:val="28"/>
                <w:highlight w:val="none"/>
                <w:lang w:eastAsia="zh-CN"/>
              </w:rPr>
            </w:pPr>
            <w:r>
              <w:rPr>
                <w:rFonts w:hint="eastAsia" w:ascii="仿宋" w:hAnsi="仿宋" w:cs="Times New Roman"/>
                <w:b w:val="0"/>
                <w:bCs/>
                <w:color w:val="auto"/>
                <w:kern w:val="0"/>
                <w:sz w:val="28"/>
                <w:szCs w:val="28"/>
                <w:highlight w:val="none"/>
                <w:lang w:val="en-US" w:eastAsia="zh-CN"/>
              </w:rPr>
              <w:t>中</w:t>
            </w:r>
          </w:p>
        </w:tc>
      </w:tr>
      <w:tr>
        <w:tblPrEx>
          <w:tblCellMar>
            <w:top w:w="15" w:type="dxa"/>
            <w:left w:w="15" w:type="dxa"/>
            <w:bottom w:w="15" w:type="dxa"/>
            <w:right w:w="15" w:type="dxa"/>
          </w:tblCellMar>
        </w:tblPrEx>
        <w:trPr>
          <w:trHeight w:val="567" w:hRule="exact"/>
        </w:trPr>
        <w:tc>
          <w:tcPr>
            <w:tcW w:w="867"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ascii="仿宋" w:hAnsi="仿宋" w:cs="Times New Roman"/>
                <w:color w:val="auto"/>
                <w:kern w:val="0"/>
                <w:sz w:val="28"/>
                <w:szCs w:val="28"/>
                <w:highlight w:val="none"/>
              </w:rPr>
            </w:pPr>
            <w:r>
              <w:rPr>
                <w:rFonts w:ascii="仿宋" w:hAnsi="仿宋" w:cs="Times New Roman"/>
                <w:color w:val="auto"/>
                <w:kern w:val="0"/>
                <w:sz w:val="28"/>
                <w:szCs w:val="28"/>
                <w:highlight w:val="none"/>
              </w:rPr>
              <w:t>项目过程</w:t>
            </w:r>
          </w:p>
        </w:tc>
        <w:tc>
          <w:tcPr>
            <w:tcW w:w="60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ascii="仿宋" w:hAnsi="仿宋" w:cs="Times New Roman"/>
                <w:color w:val="auto"/>
                <w:kern w:val="0"/>
                <w:sz w:val="28"/>
                <w:szCs w:val="28"/>
                <w:highlight w:val="none"/>
              </w:rPr>
            </w:pPr>
            <w:r>
              <w:rPr>
                <w:rFonts w:ascii="仿宋" w:hAnsi="仿宋" w:cs="Times New Roman"/>
                <w:color w:val="auto"/>
                <w:kern w:val="0"/>
                <w:sz w:val="28"/>
                <w:szCs w:val="28"/>
                <w:highlight w:val="none"/>
              </w:rPr>
              <w:t>2</w:t>
            </w:r>
            <w:r>
              <w:rPr>
                <w:rFonts w:hint="eastAsia" w:ascii="仿宋" w:hAnsi="仿宋" w:cs="Times New Roman"/>
                <w:color w:val="auto"/>
                <w:kern w:val="0"/>
                <w:sz w:val="28"/>
                <w:szCs w:val="28"/>
                <w:highlight w:val="none"/>
                <w:lang w:val="en-US" w:eastAsia="zh-CN"/>
              </w:rPr>
              <w:t>3</w:t>
            </w:r>
            <w:r>
              <w:rPr>
                <w:rFonts w:ascii="仿宋" w:hAnsi="仿宋" w:cs="Times New Roman"/>
                <w:color w:val="auto"/>
                <w:kern w:val="0"/>
                <w:sz w:val="28"/>
                <w:szCs w:val="28"/>
                <w:highlight w:val="none"/>
              </w:rPr>
              <w:t>%</w:t>
            </w:r>
          </w:p>
        </w:tc>
        <w:tc>
          <w:tcPr>
            <w:tcW w:w="78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hint="eastAsia" w:ascii="仿宋" w:hAnsi="仿宋" w:eastAsia="仿宋" w:cs="Times New Roman"/>
                <w:color w:val="auto"/>
                <w:kern w:val="0"/>
                <w:sz w:val="28"/>
                <w:szCs w:val="28"/>
                <w:highlight w:val="none"/>
                <w:lang w:eastAsia="zh-CN"/>
              </w:rPr>
            </w:pPr>
            <w:r>
              <w:rPr>
                <w:rFonts w:ascii="仿宋" w:hAnsi="仿宋" w:cs="Times New Roman"/>
                <w:color w:val="auto"/>
                <w:kern w:val="0"/>
                <w:sz w:val="28"/>
                <w:szCs w:val="28"/>
                <w:highlight w:val="none"/>
              </w:rPr>
              <w:t>2</w:t>
            </w:r>
            <w:r>
              <w:rPr>
                <w:rFonts w:hint="eastAsia" w:ascii="仿宋" w:hAnsi="仿宋" w:cs="Times New Roman"/>
                <w:color w:val="auto"/>
                <w:kern w:val="0"/>
                <w:sz w:val="28"/>
                <w:szCs w:val="28"/>
                <w:highlight w:val="none"/>
                <w:lang w:val="en-US" w:eastAsia="zh-CN"/>
              </w:rPr>
              <w:t>3</w:t>
            </w:r>
          </w:p>
        </w:tc>
        <w:tc>
          <w:tcPr>
            <w:tcW w:w="859"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hint="default" w:ascii="仿宋" w:hAnsi="仿宋" w:eastAsia="仿宋" w:cs="Times New Roman"/>
                <w:color w:val="auto"/>
                <w:kern w:val="0"/>
                <w:sz w:val="28"/>
                <w:szCs w:val="28"/>
                <w:highlight w:val="none"/>
                <w:lang w:val="en-US" w:eastAsia="zh-CN"/>
              </w:rPr>
            </w:pPr>
            <w:r>
              <w:rPr>
                <w:rFonts w:hint="eastAsia" w:ascii="仿宋" w:hAnsi="仿宋" w:cs="Times New Roman"/>
                <w:color w:val="auto"/>
                <w:kern w:val="0"/>
                <w:sz w:val="28"/>
                <w:szCs w:val="28"/>
                <w:highlight w:val="none"/>
                <w:lang w:val="en-US" w:eastAsia="zh-CN"/>
              </w:rPr>
              <w:t>19.67</w:t>
            </w:r>
          </w:p>
        </w:tc>
        <w:tc>
          <w:tcPr>
            <w:tcW w:w="1021"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ascii="仿宋" w:hAnsi="仿宋" w:cs="Times New Roman"/>
                <w:color w:val="auto"/>
                <w:kern w:val="0"/>
                <w:sz w:val="28"/>
                <w:szCs w:val="28"/>
                <w:highlight w:val="none"/>
              </w:rPr>
            </w:pPr>
            <w:r>
              <w:rPr>
                <w:rFonts w:hint="eastAsia" w:ascii="仿宋" w:hAnsi="仿宋" w:cs="Times New Roman"/>
                <w:color w:val="auto"/>
                <w:kern w:val="0"/>
                <w:sz w:val="28"/>
                <w:szCs w:val="28"/>
                <w:highlight w:val="none"/>
                <w:lang w:val="en-US" w:eastAsia="zh-CN"/>
              </w:rPr>
              <w:t>85.52</w:t>
            </w:r>
            <w:r>
              <w:rPr>
                <w:rFonts w:ascii="仿宋" w:hAnsi="仿宋" w:cs="Times New Roman"/>
                <w:color w:val="auto"/>
                <w:kern w:val="0"/>
                <w:sz w:val="28"/>
                <w:szCs w:val="28"/>
                <w:highlight w:val="none"/>
              </w:rPr>
              <w:t>%</w:t>
            </w:r>
          </w:p>
        </w:tc>
        <w:tc>
          <w:tcPr>
            <w:tcW w:w="864"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hint="eastAsia" w:ascii="仿宋" w:hAnsi="仿宋" w:eastAsia="仿宋" w:cs="Times New Roman"/>
                <w:color w:val="auto"/>
                <w:kern w:val="0"/>
                <w:sz w:val="28"/>
                <w:szCs w:val="28"/>
                <w:highlight w:val="none"/>
                <w:lang w:eastAsia="zh-CN"/>
              </w:rPr>
            </w:pPr>
            <w:r>
              <w:rPr>
                <w:rFonts w:hint="eastAsia" w:ascii="仿宋" w:hAnsi="仿宋" w:cs="Times New Roman"/>
                <w:color w:val="auto"/>
                <w:kern w:val="0"/>
                <w:sz w:val="28"/>
                <w:szCs w:val="28"/>
                <w:highlight w:val="none"/>
                <w:lang w:val="en-US" w:eastAsia="zh-CN"/>
              </w:rPr>
              <w:t>良</w:t>
            </w:r>
          </w:p>
        </w:tc>
      </w:tr>
      <w:tr>
        <w:tblPrEx>
          <w:tblCellMar>
            <w:top w:w="15" w:type="dxa"/>
            <w:left w:w="15" w:type="dxa"/>
            <w:bottom w:w="15" w:type="dxa"/>
            <w:right w:w="15" w:type="dxa"/>
          </w:tblCellMar>
        </w:tblPrEx>
        <w:trPr>
          <w:trHeight w:val="567" w:hRule="exact"/>
        </w:trPr>
        <w:tc>
          <w:tcPr>
            <w:tcW w:w="867"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ascii="仿宋" w:hAnsi="仿宋" w:cs="Times New Roman"/>
                <w:color w:val="auto"/>
                <w:kern w:val="0"/>
                <w:sz w:val="28"/>
                <w:szCs w:val="28"/>
                <w:highlight w:val="none"/>
              </w:rPr>
            </w:pPr>
            <w:r>
              <w:rPr>
                <w:rFonts w:ascii="仿宋" w:hAnsi="仿宋" w:cs="Times New Roman"/>
                <w:color w:val="auto"/>
                <w:kern w:val="0"/>
                <w:sz w:val="28"/>
                <w:szCs w:val="28"/>
                <w:highlight w:val="none"/>
              </w:rPr>
              <w:t>项目产出</w:t>
            </w:r>
          </w:p>
        </w:tc>
        <w:tc>
          <w:tcPr>
            <w:tcW w:w="60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ascii="仿宋" w:hAnsi="仿宋" w:cs="Times New Roman"/>
                <w:color w:val="auto"/>
                <w:kern w:val="0"/>
                <w:sz w:val="28"/>
                <w:szCs w:val="28"/>
                <w:highlight w:val="none"/>
              </w:rPr>
            </w:pPr>
            <w:r>
              <w:rPr>
                <w:rFonts w:hint="eastAsia" w:ascii="仿宋" w:hAnsi="仿宋" w:cs="Times New Roman"/>
                <w:color w:val="auto"/>
                <w:kern w:val="0"/>
                <w:sz w:val="28"/>
                <w:szCs w:val="28"/>
                <w:highlight w:val="none"/>
                <w:lang w:val="en-US" w:eastAsia="zh-CN"/>
              </w:rPr>
              <w:t>30</w:t>
            </w:r>
            <w:r>
              <w:rPr>
                <w:rFonts w:ascii="仿宋" w:hAnsi="仿宋" w:cs="Times New Roman"/>
                <w:color w:val="auto"/>
                <w:kern w:val="0"/>
                <w:sz w:val="28"/>
                <w:szCs w:val="28"/>
                <w:highlight w:val="none"/>
              </w:rPr>
              <w:t>%</w:t>
            </w:r>
          </w:p>
        </w:tc>
        <w:tc>
          <w:tcPr>
            <w:tcW w:w="78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hint="default" w:ascii="仿宋" w:hAnsi="仿宋" w:eastAsia="仿宋" w:cs="Times New Roman"/>
                <w:color w:val="auto"/>
                <w:kern w:val="0"/>
                <w:sz w:val="28"/>
                <w:szCs w:val="28"/>
                <w:highlight w:val="none"/>
                <w:lang w:val="en-US" w:eastAsia="zh-CN"/>
              </w:rPr>
            </w:pPr>
            <w:r>
              <w:rPr>
                <w:rFonts w:hint="eastAsia" w:ascii="仿宋" w:hAnsi="仿宋" w:cs="Times New Roman"/>
                <w:color w:val="auto"/>
                <w:kern w:val="0"/>
                <w:sz w:val="28"/>
                <w:szCs w:val="28"/>
                <w:highlight w:val="none"/>
                <w:lang w:val="en-US" w:eastAsia="zh-CN"/>
              </w:rPr>
              <w:t>30</w:t>
            </w:r>
          </w:p>
        </w:tc>
        <w:tc>
          <w:tcPr>
            <w:tcW w:w="859"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hint="default" w:ascii="仿宋" w:hAnsi="仿宋" w:eastAsia="仿宋" w:cs="Times New Roman"/>
                <w:color w:val="auto"/>
                <w:kern w:val="0"/>
                <w:sz w:val="28"/>
                <w:szCs w:val="28"/>
                <w:highlight w:val="none"/>
                <w:lang w:val="en-US" w:eastAsia="zh-CN"/>
              </w:rPr>
            </w:pPr>
            <w:r>
              <w:rPr>
                <w:rFonts w:hint="eastAsia" w:ascii="仿宋" w:hAnsi="仿宋" w:cs="Times New Roman"/>
                <w:color w:val="auto"/>
                <w:kern w:val="0"/>
                <w:sz w:val="28"/>
                <w:szCs w:val="28"/>
                <w:highlight w:val="none"/>
                <w:lang w:val="en-US" w:eastAsia="zh-CN"/>
              </w:rPr>
              <w:t>27.51</w:t>
            </w:r>
          </w:p>
        </w:tc>
        <w:tc>
          <w:tcPr>
            <w:tcW w:w="1021"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ascii="仿宋" w:hAnsi="仿宋" w:cs="Times New Roman"/>
                <w:color w:val="auto"/>
                <w:kern w:val="0"/>
                <w:sz w:val="28"/>
                <w:szCs w:val="28"/>
                <w:highlight w:val="none"/>
              </w:rPr>
            </w:pPr>
            <w:r>
              <w:rPr>
                <w:rFonts w:hint="eastAsia" w:ascii="仿宋" w:hAnsi="仿宋" w:cs="Times New Roman"/>
                <w:color w:val="auto"/>
                <w:kern w:val="0"/>
                <w:sz w:val="28"/>
                <w:szCs w:val="28"/>
                <w:highlight w:val="none"/>
                <w:lang w:val="en-US" w:eastAsia="zh-CN"/>
              </w:rPr>
              <w:t>91.70</w:t>
            </w:r>
            <w:r>
              <w:rPr>
                <w:rFonts w:ascii="仿宋" w:hAnsi="仿宋" w:cs="Times New Roman"/>
                <w:color w:val="auto"/>
                <w:kern w:val="0"/>
                <w:sz w:val="28"/>
                <w:szCs w:val="28"/>
                <w:highlight w:val="none"/>
              </w:rPr>
              <w:t>%</w:t>
            </w:r>
          </w:p>
        </w:tc>
        <w:tc>
          <w:tcPr>
            <w:tcW w:w="864"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hint="default" w:ascii="仿宋" w:hAnsi="仿宋" w:eastAsia="仿宋" w:cs="Times New Roman"/>
                <w:color w:val="auto"/>
                <w:kern w:val="0"/>
                <w:sz w:val="28"/>
                <w:szCs w:val="28"/>
                <w:highlight w:val="none"/>
                <w:lang w:val="en-US" w:eastAsia="zh-CN"/>
              </w:rPr>
            </w:pPr>
            <w:r>
              <w:rPr>
                <w:rFonts w:hint="eastAsia" w:ascii="仿宋" w:hAnsi="仿宋" w:cs="Times New Roman"/>
                <w:color w:val="auto"/>
                <w:kern w:val="0"/>
                <w:sz w:val="28"/>
                <w:szCs w:val="28"/>
                <w:highlight w:val="none"/>
                <w:lang w:val="en-US" w:eastAsia="zh-CN"/>
              </w:rPr>
              <w:t>优</w:t>
            </w:r>
          </w:p>
        </w:tc>
      </w:tr>
      <w:tr>
        <w:tblPrEx>
          <w:tblCellMar>
            <w:top w:w="15" w:type="dxa"/>
            <w:left w:w="15" w:type="dxa"/>
            <w:bottom w:w="15" w:type="dxa"/>
            <w:right w:w="15" w:type="dxa"/>
          </w:tblCellMar>
        </w:tblPrEx>
        <w:trPr>
          <w:trHeight w:val="567" w:hRule="exact"/>
        </w:trPr>
        <w:tc>
          <w:tcPr>
            <w:tcW w:w="867"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ascii="仿宋" w:hAnsi="仿宋" w:cs="Times New Roman"/>
                <w:color w:val="auto"/>
                <w:kern w:val="0"/>
                <w:sz w:val="28"/>
                <w:szCs w:val="28"/>
                <w:highlight w:val="none"/>
              </w:rPr>
            </w:pPr>
            <w:r>
              <w:rPr>
                <w:rFonts w:ascii="仿宋" w:hAnsi="仿宋" w:cs="Times New Roman"/>
                <w:color w:val="auto"/>
                <w:kern w:val="0"/>
                <w:sz w:val="28"/>
                <w:szCs w:val="28"/>
                <w:highlight w:val="none"/>
              </w:rPr>
              <w:t>项目效果</w:t>
            </w:r>
          </w:p>
        </w:tc>
        <w:tc>
          <w:tcPr>
            <w:tcW w:w="60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ascii="仿宋" w:hAnsi="仿宋" w:cs="Times New Roman"/>
                <w:color w:val="auto"/>
                <w:kern w:val="0"/>
                <w:sz w:val="28"/>
                <w:szCs w:val="28"/>
                <w:highlight w:val="none"/>
              </w:rPr>
            </w:pPr>
            <w:r>
              <w:rPr>
                <w:rFonts w:hint="eastAsia" w:ascii="仿宋" w:hAnsi="仿宋" w:cs="Times New Roman"/>
                <w:color w:val="auto"/>
                <w:kern w:val="0"/>
                <w:sz w:val="28"/>
                <w:szCs w:val="28"/>
                <w:highlight w:val="none"/>
                <w:lang w:val="en-US" w:eastAsia="zh-CN"/>
              </w:rPr>
              <w:t>35</w:t>
            </w:r>
            <w:r>
              <w:rPr>
                <w:rFonts w:ascii="仿宋" w:hAnsi="仿宋" w:cs="Times New Roman"/>
                <w:color w:val="auto"/>
                <w:kern w:val="0"/>
                <w:sz w:val="28"/>
                <w:szCs w:val="28"/>
                <w:highlight w:val="none"/>
              </w:rPr>
              <w:t>%</w:t>
            </w:r>
          </w:p>
        </w:tc>
        <w:tc>
          <w:tcPr>
            <w:tcW w:w="78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hint="default" w:ascii="仿宋" w:hAnsi="仿宋" w:eastAsia="仿宋" w:cs="Times New Roman"/>
                <w:color w:val="auto"/>
                <w:kern w:val="0"/>
                <w:sz w:val="28"/>
                <w:szCs w:val="28"/>
                <w:highlight w:val="none"/>
                <w:lang w:val="en-US" w:eastAsia="zh-CN"/>
              </w:rPr>
            </w:pPr>
            <w:r>
              <w:rPr>
                <w:rFonts w:hint="eastAsia" w:ascii="仿宋" w:hAnsi="仿宋" w:cs="Times New Roman"/>
                <w:color w:val="auto"/>
                <w:kern w:val="0"/>
                <w:sz w:val="28"/>
                <w:szCs w:val="28"/>
                <w:highlight w:val="none"/>
                <w:lang w:val="en-US" w:eastAsia="zh-CN"/>
              </w:rPr>
              <w:t>35</w:t>
            </w:r>
          </w:p>
        </w:tc>
        <w:tc>
          <w:tcPr>
            <w:tcW w:w="859"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hint="default" w:ascii="仿宋" w:hAnsi="仿宋" w:eastAsia="仿宋" w:cs="Times New Roman"/>
                <w:color w:val="auto"/>
                <w:kern w:val="0"/>
                <w:sz w:val="28"/>
                <w:szCs w:val="28"/>
                <w:highlight w:val="none"/>
                <w:lang w:val="en-US" w:eastAsia="zh-CN"/>
              </w:rPr>
            </w:pPr>
            <w:r>
              <w:rPr>
                <w:rFonts w:hint="eastAsia" w:ascii="仿宋" w:hAnsi="仿宋" w:cs="Times New Roman"/>
                <w:color w:val="auto"/>
                <w:kern w:val="0"/>
                <w:sz w:val="28"/>
                <w:szCs w:val="28"/>
                <w:highlight w:val="none"/>
                <w:lang w:val="en-US" w:eastAsia="zh-CN"/>
              </w:rPr>
              <w:t>28.99</w:t>
            </w:r>
          </w:p>
        </w:tc>
        <w:tc>
          <w:tcPr>
            <w:tcW w:w="1021"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ascii="仿宋" w:hAnsi="仿宋" w:cs="Times New Roman"/>
                <w:color w:val="auto"/>
                <w:kern w:val="0"/>
                <w:sz w:val="28"/>
                <w:szCs w:val="28"/>
                <w:highlight w:val="none"/>
              </w:rPr>
            </w:pPr>
            <w:r>
              <w:rPr>
                <w:rFonts w:hint="eastAsia" w:ascii="仿宋" w:hAnsi="仿宋" w:cs="Times New Roman"/>
                <w:color w:val="auto"/>
                <w:kern w:val="0"/>
                <w:sz w:val="28"/>
                <w:szCs w:val="28"/>
                <w:highlight w:val="none"/>
                <w:lang w:val="en-US" w:eastAsia="zh-CN"/>
              </w:rPr>
              <w:t>82.83</w:t>
            </w:r>
            <w:r>
              <w:rPr>
                <w:rFonts w:ascii="仿宋" w:hAnsi="仿宋" w:cs="Times New Roman"/>
                <w:color w:val="auto"/>
                <w:kern w:val="0"/>
                <w:sz w:val="28"/>
                <w:szCs w:val="28"/>
                <w:highlight w:val="none"/>
              </w:rPr>
              <w:t>%</w:t>
            </w:r>
          </w:p>
        </w:tc>
        <w:tc>
          <w:tcPr>
            <w:tcW w:w="864"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0" w:firstLineChars="200"/>
              <w:jc w:val="center"/>
              <w:textAlignment w:val="center"/>
              <w:rPr>
                <w:rFonts w:hint="eastAsia" w:ascii="仿宋" w:hAnsi="仿宋" w:eastAsia="仿宋" w:cs="Times New Roman"/>
                <w:color w:val="auto"/>
                <w:kern w:val="0"/>
                <w:sz w:val="28"/>
                <w:szCs w:val="28"/>
                <w:highlight w:val="none"/>
                <w:lang w:eastAsia="zh-CN"/>
              </w:rPr>
            </w:pPr>
            <w:r>
              <w:rPr>
                <w:rFonts w:hint="eastAsia" w:ascii="仿宋" w:hAnsi="仿宋" w:cs="Times New Roman"/>
                <w:color w:val="auto"/>
                <w:kern w:val="0"/>
                <w:sz w:val="28"/>
                <w:szCs w:val="28"/>
                <w:highlight w:val="none"/>
                <w:lang w:val="en-US" w:eastAsia="zh-CN"/>
              </w:rPr>
              <w:t>良</w:t>
            </w:r>
          </w:p>
        </w:tc>
      </w:tr>
      <w:tr>
        <w:tblPrEx>
          <w:tblCellMar>
            <w:top w:w="15" w:type="dxa"/>
            <w:left w:w="15" w:type="dxa"/>
            <w:bottom w:w="15" w:type="dxa"/>
            <w:right w:w="15" w:type="dxa"/>
          </w:tblCellMar>
        </w:tblPrEx>
        <w:trPr>
          <w:trHeight w:val="567" w:hRule="exact"/>
        </w:trPr>
        <w:tc>
          <w:tcPr>
            <w:tcW w:w="867"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2" w:firstLineChars="200"/>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综合绩效</w:t>
            </w:r>
          </w:p>
        </w:tc>
        <w:tc>
          <w:tcPr>
            <w:tcW w:w="60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2" w:firstLineChars="200"/>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100%</w:t>
            </w:r>
          </w:p>
        </w:tc>
        <w:tc>
          <w:tcPr>
            <w:tcW w:w="783"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2" w:firstLineChars="200"/>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100</w:t>
            </w:r>
          </w:p>
        </w:tc>
        <w:tc>
          <w:tcPr>
            <w:tcW w:w="859"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2" w:firstLineChars="200"/>
              <w:jc w:val="center"/>
              <w:textAlignment w:val="center"/>
              <w:rPr>
                <w:rFonts w:hint="default" w:ascii="仿宋" w:hAnsi="仿宋" w:eastAsia="仿宋" w:cs="Times New Roman"/>
                <w:b/>
                <w:color w:val="auto"/>
                <w:kern w:val="0"/>
                <w:sz w:val="28"/>
                <w:szCs w:val="28"/>
                <w:highlight w:val="none"/>
                <w:lang w:val="en-US" w:eastAsia="zh-CN"/>
              </w:rPr>
            </w:pPr>
            <w:r>
              <w:rPr>
                <w:rFonts w:hint="eastAsia" w:ascii="仿宋" w:hAnsi="仿宋" w:cs="Times New Roman"/>
                <w:b/>
                <w:color w:val="auto"/>
                <w:kern w:val="0"/>
                <w:sz w:val="28"/>
                <w:szCs w:val="28"/>
                <w:highlight w:val="none"/>
                <w:lang w:val="en-US" w:eastAsia="zh-CN"/>
              </w:rPr>
              <w:t>84.67</w:t>
            </w:r>
          </w:p>
        </w:tc>
        <w:tc>
          <w:tcPr>
            <w:tcW w:w="1021"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2" w:firstLineChars="200"/>
              <w:jc w:val="center"/>
              <w:textAlignment w:val="center"/>
              <w:rPr>
                <w:rFonts w:ascii="仿宋" w:hAnsi="仿宋" w:cs="Times New Roman"/>
                <w:b/>
                <w:color w:val="auto"/>
                <w:kern w:val="0"/>
                <w:sz w:val="28"/>
                <w:szCs w:val="28"/>
                <w:highlight w:val="none"/>
              </w:rPr>
            </w:pPr>
            <w:r>
              <w:rPr>
                <w:rFonts w:hint="eastAsia" w:ascii="仿宋" w:hAnsi="仿宋" w:cs="Times New Roman"/>
                <w:b/>
                <w:color w:val="auto"/>
                <w:kern w:val="0"/>
                <w:sz w:val="28"/>
                <w:szCs w:val="28"/>
                <w:highlight w:val="none"/>
                <w:lang w:val="en-US" w:eastAsia="zh-CN"/>
              </w:rPr>
              <w:t>84.67</w:t>
            </w:r>
            <w:r>
              <w:rPr>
                <w:rFonts w:ascii="仿宋" w:hAnsi="仿宋" w:cs="Times New Roman"/>
                <w:b/>
                <w:color w:val="auto"/>
                <w:kern w:val="0"/>
                <w:sz w:val="28"/>
                <w:szCs w:val="28"/>
                <w:highlight w:val="none"/>
              </w:rPr>
              <w:t>%</w:t>
            </w:r>
          </w:p>
        </w:tc>
        <w:tc>
          <w:tcPr>
            <w:tcW w:w="864" w:type="pc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560" w:lineRule="exact"/>
              <w:ind w:firstLine="562" w:firstLineChars="200"/>
              <w:jc w:val="center"/>
              <w:textAlignment w:val="center"/>
              <w:rPr>
                <w:rFonts w:hint="eastAsia" w:ascii="仿宋" w:hAnsi="仿宋" w:eastAsia="仿宋" w:cs="Times New Roman"/>
                <w:b/>
                <w:color w:val="auto"/>
                <w:kern w:val="0"/>
                <w:sz w:val="28"/>
                <w:szCs w:val="28"/>
                <w:highlight w:val="none"/>
                <w:lang w:eastAsia="zh-CN"/>
              </w:rPr>
            </w:pPr>
            <w:r>
              <w:rPr>
                <w:rFonts w:hint="eastAsia" w:ascii="仿宋" w:hAnsi="仿宋" w:cs="Times New Roman"/>
                <w:b/>
                <w:color w:val="auto"/>
                <w:kern w:val="0"/>
                <w:sz w:val="28"/>
                <w:szCs w:val="28"/>
                <w:highlight w:val="none"/>
                <w:lang w:val="en-US" w:eastAsia="zh-CN"/>
              </w:rPr>
              <w:t>良</w:t>
            </w:r>
          </w:p>
        </w:tc>
      </w:tr>
    </w:tbl>
    <w:p>
      <w:pPr>
        <w:pStyle w:val="5"/>
        <w:pageBreakBefore w:val="0"/>
        <w:kinsoku/>
        <w:wordWrap/>
        <w:overflowPunct/>
        <w:topLinePunct w:val="0"/>
        <w:autoSpaceDE/>
        <w:autoSpaceDN/>
        <w:bidi w:val="0"/>
        <w:spacing w:before="0" w:after="0" w:line="560" w:lineRule="exac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（二）绩效指标完成情况</w:t>
      </w:r>
      <w:bookmarkEnd w:id="6"/>
      <w:bookmarkEnd w:id="7"/>
      <w:bookmarkEnd w:id="8"/>
      <w:bookmarkEnd w:id="9"/>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cs="仿宋"/>
          <w:bCs/>
          <w:color w:val="auto"/>
          <w:sz w:val="32"/>
          <w:szCs w:val="32"/>
          <w:highlight w:val="none"/>
        </w:rPr>
      </w:pPr>
      <w:r>
        <w:rPr>
          <w:rFonts w:hint="eastAsia" w:ascii="仿宋" w:hAnsi="仿宋" w:cs="仿宋"/>
          <w:color w:val="auto"/>
          <w:sz w:val="32"/>
          <w:szCs w:val="32"/>
          <w:highlight w:val="none"/>
        </w:rPr>
        <w:t>1、在项目决策阶段，</w:t>
      </w:r>
      <w:r>
        <w:rPr>
          <w:rFonts w:hint="eastAsia" w:ascii="仿宋" w:hAnsi="仿宋" w:cs="仿宋"/>
          <w:bCs/>
          <w:color w:val="auto"/>
          <w:sz w:val="32"/>
          <w:szCs w:val="32"/>
          <w:highlight w:val="none"/>
        </w:rPr>
        <w:t>立项总体符合国家法律法规、国民经济发展规划，符合行业发展规划和政策要求，与项目实施单位职责密切相关</w:t>
      </w:r>
      <w:r>
        <w:rPr>
          <w:rFonts w:hint="eastAsia" w:ascii="仿宋" w:hAnsi="仿宋" w:cs="仿宋"/>
          <w:bCs/>
          <w:color w:val="auto"/>
          <w:sz w:val="32"/>
          <w:szCs w:val="32"/>
          <w:highlight w:val="none"/>
          <w:lang w:eastAsia="zh-CN"/>
        </w:rPr>
        <w:t>，</w:t>
      </w:r>
      <w:r>
        <w:rPr>
          <w:rFonts w:hint="eastAsia" w:ascii="仿宋" w:hAnsi="仿宋" w:cs="仿宋"/>
          <w:bCs/>
          <w:color w:val="auto"/>
          <w:sz w:val="32"/>
          <w:szCs w:val="32"/>
          <w:highlight w:val="none"/>
        </w:rPr>
        <w:t>属于公共财政支持范围，部门内部无相关项目重复。项目按照规定的程序申请设立，设定了总目标和绩效指标，但是目标和指标的设计不符合目标管理规范，如:质量指标、时效指标和效益指标均为空白</w:t>
      </w:r>
      <w:r>
        <w:rPr>
          <w:rFonts w:hint="eastAsia" w:ascii="仿宋" w:hAnsi="仿宋" w:cs="仿宋"/>
          <w:bCs/>
          <w:color w:val="auto"/>
          <w:sz w:val="32"/>
          <w:szCs w:val="32"/>
          <w:highlight w:val="none"/>
          <w:lang w:eastAsia="zh-CN"/>
        </w:rPr>
        <w:t>，</w:t>
      </w:r>
      <w:r>
        <w:rPr>
          <w:rFonts w:hint="eastAsia" w:ascii="仿宋" w:hAnsi="仿宋" w:cs="仿宋"/>
          <w:bCs/>
          <w:color w:val="auto"/>
          <w:sz w:val="32"/>
          <w:szCs w:val="32"/>
          <w:highlight w:val="none"/>
        </w:rPr>
        <w:t>绩效指标量化较差。预算编制经过科学认证，预算内容与项目内容匹配，预算额度测算依据充分，但未按照标准编制（人员经费未并入部门预算的“基本支出”）。</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 w:hAnsi="仿宋" w:cs="仿宋"/>
          <w:color w:val="auto"/>
          <w:sz w:val="32"/>
          <w:szCs w:val="32"/>
          <w:highlight w:val="none"/>
        </w:rPr>
      </w:pPr>
      <w:r>
        <w:rPr>
          <w:rFonts w:hint="eastAsia" w:ascii="仿宋" w:hAnsi="仿宋" w:cs="仿宋"/>
          <w:bCs/>
          <w:color w:val="auto"/>
          <w:sz w:val="32"/>
          <w:szCs w:val="32"/>
          <w:highlight w:val="none"/>
        </w:rPr>
        <w:t>标准分12分，扣分</w:t>
      </w:r>
      <w:r>
        <w:rPr>
          <w:rFonts w:hint="eastAsia" w:ascii="仿宋" w:hAnsi="仿宋" w:cs="仿宋"/>
          <w:bCs/>
          <w:color w:val="auto"/>
          <w:sz w:val="32"/>
          <w:szCs w:val="32"/>
          <w:highlight w:val="none"/>
          <w:lang w:val="en-US" w:eastAsia="zh-CN"/>
        </w:rPr>
        <w:t>8.50</w:t>
      </w:r>
      <w:r>
        <w:rPr>
          <w:rFonts w:hint="eastAsia" w:ascii="仿宋" w:hAnsi="仿宋" w:cs="仿宋"/>
          <w:bCs/>
          <w:color w:val="auto"/>
          <w:sz w:val="32"/>
          <w:szCs w:val="32"/>
          <w:highlight w:val="none"/>
        </w:rPr>
        <w:t>分，评价得分</w:t>
      </w:r>
      <w:r>
        <w:rPr>
          <w:rFonts w:hint="eastAsia" w:ascii="仿宋" w:hAnsi="仿宋" w:cs="仿宋"/>
          <w:bCs/>
          <w:color w:val="auto"/>
          <w:sz w:val="32"/>
          <w:szCs w:val="32"/>
          <w:highlight w:val="none"/>
          <w:lang w:val="en-US" w:eastAsia="zh-CN"/>
        </w:rPr>
        <w:t>3.50</w:t>
      </w:r>
      <w:r>
        <w:rPr>
          <w:rFonts w:hint="eastAsia" w:ascii="仿宋" w:hAnsi="仿宋" w:cs="仿宋"/>
          <w:bCs/>
          <w:color w:val="auto"/>
          <w:sz w:val="32"/>
          <w:szCs w:val="32"/>
          <w:highlight w:val="none"/>
        </w:rPr>
        <w:t>分。</w:t>
      </w:r>
    </w:p>
    <w:p>
      <w:pPr>
        <w:pageBreakBefore w:val="0"/>
        <w:widowControl w:val="0"/>
        <w:numPr>
          <w:ilvl w:val="0"/>
          <w:numId w:val="1"/>
        </w:numPr>
        <w:kinsoku/>
        <w:wordWrap/>
        <w:overflowPunct/>
        <w:topLinePunct w:val="0"/>
        <w:autoSpaceDE/>
        <w:autoSpaceDN/>
        <w:bidi w:val="0"/>
        <w:adjustRightInd/>
        <w:snapToGrid/>
        <w:spacing w:line="560" w:lineRule="exact"/>
        <w:ind w:left="0" w:firstLine="640" w:firstLineChars="200"/>
        <w:textAlignment w:val="auto"/>
        <w:rPr>
          <w:rFonts w:hint="eastAsia" w:ascii="仿宋" w:hAnsi="仿宋" w:cs="仿宋"/>
          <w:color w:val="auto"/>
          <w:sz w:val="32"/>
          <w:szCs w:val="32"/>
          <w:highlight w:val="none"/>
          <w:lang w:eastAsia="zh-CN"/>
        </w:rPr>
      </w:pPr>
      <w:r>
        <w:rPr>
          <w:rFonts w:hint="eastAsia" w:ascii="仿宋" w:hAnsi="仿宋" w:cs="仿宋"/>
          <w:color w:val="auto"/>
          <w:sz w:val="32"/>
          <w:szCs w:val="32"/>
          <w:highlight w:val="none"/>
        </w:rPr>
        <w:t>在项目过程阶段，项目管理制度和财务制度基本健全，项目</w:t>
      </w:r>
      <w:r>
        <w:rPr>
          <w:rFonts w:hint="eastAsia" w:ascii="仿宋" w:hAnsi="仿宋" w:cs="仿宋"/>
          <w:bCs/>
          <w:color w:val="auto"/>
          <w:sz w:val="32"/>
          <w:szCs w:val="32"/>
          <w:highlight w:val="none"/>
        </w:rPr>
        <w:t>资金流出均执行了审批流程，手续完备，附件完整</w:t>
      </w:r>
      <w:r>
        <w:rPr>
          <w:rFonts w:hint="eastAsia" w:ascii="仿宋" w:hAnsi="仿宋" w:cs="仿宋"/>
          <w:bCs/>
          <w:color w:val="auto"/>
          <w:sz w:val="32"/>
          <w:szCs w:val="32"/>
          <w:highlight w:val="none"/>
          <w:lang w:eastAsia="zh-CN"/>
        </w:rPr>
        <w:t>。资金使用符合项目预算批复或合同规定的用途，不存在截留、挤占、挪用、虚列支出等情况。项目管理不规范（出现园林、排污设施伤人事件导致赔偿）</w:t>
      </w:r>
      <w:r>
        <w:rPr>
          <w:rFonts w:hint="eastAsia" w:ascii="仿宋" w:hAnsi="仿宋" w:cs="仿宋"/>
          <w:color w:val="auto"/>
          <w:sz w:val="32"/>
          <w:szCs w:val="32"/>
          <w:highlight w:val="none"/>
          <w:lang w:eastAsia="zh-CN"/>
        </w:rPr>
        <w:t>。</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ascii="仿宋" w:hAnsi="仿宋" w:cs="仿宋"/>
          <w:color w:val="auto"/>
          <w:sz w:val="32"/>
          <w:szCs w:val="32"/>
          <w:highlight w:val="none"/>
        </w:rPr>
      </w:pPr>
      <w:r>
        <w:rPr>
          <w:rFonts w:hint="eastAsia" w:ascii="仿宋" w:hAnsi="仿宋" w:cs="仿宋"/>
          <w:bCs/>
          <w:color w:val="auto"/>
          <w:sz w:val="32"/>
          <w:szCs w:val="32"/>
          <w:highlight w:val="none"/>
        </w:rPr>
        <w:t>标准分2</w:t>
      </w:r>
      <w:r>
        <w:rPr>
          <w:rFonts w:hint="eastAsia" w:ascii="仿宋" w:hAnsi="仿宋" w:cs="仿宋"/>
          <w:bCs/>
          <w:color w:val="auto"/>
          <w:sz w:val="32"/>
          <w:szCs w:val="32"/>
          <w:highlight w:val="none"/>
          <w:lang w:val="en-US" w:eastAsia="zh-CN"/>
        </w:rPr>
        <w:t>3</w:t>
      </w:r>
      <w:r>
        <w:rPr>
          <w:rFonts w:hint="eastAsia" w:ascii="仿宋" w:hAnsi="仿宋" w:cs="仿宋"/>
          <w:bCs/>
          <w:color w:val="auto"/>
          <w:sz w:val="32"/>
          <w:szCs w:val="32"/>
          <w:highlight w:val="none"/>
        </w:rPr>
        <w:t>分，扣分</w:t>
      </w:r>
      <w:r>
        <w:rPr>
          <w:rFonts w:hint="eastAsia" w:ascii="仿宋" w:hAnsi="仿宋" w:cs="仿宋"/>
          <w:bCs/>
          <w:color w:val="auto"/>
          <w:sz w:val="32"/>
          <w:szCs w:val="32"/>
          <w:highlight w:val="none"/>
          <w:lang w:val="en-US" w:eastAsia="zh-CN"/>
        </w:rPr>
        <w:t>3.33</w:t>
      </w:r>
      <w:r>
        <w:rPr>
          <w:rFonts w:hint="eastAsia" w:ascii="仿宋" w:hAnsi="仿宋" w:cs="仿宋"/>
          <w:bCs/>
          <w:color w:val="auto"/>
          <w:sz w:val="32"/>
          <w:szCs w:val="32"/>
          <w:highlight w:val="none"/>
        </w:rPr>
        <w:t>分，评价得分</w:t>
      </w:r>
      <w:r>
        <w:rPr>
          <w:rFonts w:hint="eastAsia" w:ascii="仿宋" w:hAnsi="仿宋" w:cs="仿宋"/>
          <w:bCs/>
          <w:color w:val="auto"/>
          <w:sz w:val="32"/>
          <w:szCs w:val="32"/>
          <w:highlight w:val="none"/>
          <w:lang w:val="en-US" w:eastAsia="zh-CN"/>
        </w:rPr>
        <w:t>19.67</w:t>
      </w:r>
      <w:r>
        <w:rPr>
          <w:rFonts w:hint="eastAsia" w:ascii="仿宋" w:hAnsi="仿宋" w:cs="仿宋"/>
          <w:bCs/>
          <w:color w:val="auto"/>
          <w:sz w:val="32"/>
          <w:szCs w:val="32"/>
          <w:highlight w:val="none"/>
        </w:rPr>
        <w:t>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项目产出阶段，产出指标（数量、质量</w:t>
      </w:r>
      <w:r>
        <w:rPr>
          <w:rFonts w:hint="eastAsia" w:ascii="仿宋" w:hAnsi="仿宋" w:cs="仿宋"/>
          <w:color w:val="auto"/>
          <w:sz w:val="32"/>
          <w:szCs w:val="32"/>
          <w:highlight w:val="none"/>
          <w:lang w:eastAsia="zh-CN"/>
        </w:rPr>
        <w:t>、</w:t>
      </w:r>
      <w:r>
        <w:rPr>
          <w:rFonts w:hint="eastAsia" w:ascii="仿宋" w:hAnsi="仿宋" w:cs="仿宋"/>
          <w:color w:val="auto"/>
          <w:sz w:val="32"/>
          <w:szCs w:val="32"/>
          <w:highlight w:val="none"/>
          <w:lang w:val="en-US" w:eastAsia="zh-CN"/>
        </w:rPr>
        <w:t>时效</w:t>
      </w:r>
      <w:r>
        <w:rPr>
          <w:rFonts w:hint="eastAsia" w:ascii="仿宋" w:hAnsi="仿宋" w:cs="仿宋"/>
          <w:color w:val="auto"/>
          <w:sz w:val="32"/>
          <w:szCs w:val="32"/>
          <w:highlight w:val="none"/>
        </w:rPr>
        <w:t>）总体完成较好，</w:t>
      </w:r>
      <w:r>
        <w:rPr>
          <w:rFonts w:hint="eastAsia" w:ascii="仿宋" w:hAnsi="仿宋" w:cs="仿宋"/>
          <w:color w:val="auto"/>
          <w:sz w:val="32"/>
          <w:szCs w:val="32"/>
          <w:highlight w:val="none"/>
          <w:lang w:val="en-US" w:eastAsia="zh-CN"/>
        </w:rPr>
        <w:t>但存在少量城市运行管理服务平台下达任务处置不及时</w:t>
      </w:r>
      <w:r>
        <w:rPr>
          <w:rFonts w:hint="eastAsia" w:ascii="仿宋" w:hAnsi="仿宋" w:cs="仿宋"/>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ascii="仿宋" w:hAnsi="仿宋" w:cs="仿宋"/>
          <w:color w:val="auto"/>
          <w:sz w:val="32"/>
          <w:szCs w:val="32"/>
          <w:highlight w:val="none"/>
        </w:rPr>
      </w:pPr>
      <w:r>
        <w:rPr>
          <w:rFonts w:hint="eastAsia" w:ascii="仿宋" w:hAnsi="仿宋" w:cs="仿宋"/>
          <w:bCs/>
          <w:color w:val="auto"/>
          <w:sz w:val="32"/>
          <w:szCs w:val="32"/>
          <w:highlight w:val="none"/>
        </w:rPr>
        <w:t>标准分</w:t>
      </w:r>
      <w:r>
        <w:rPr>
          <w:rFonts w:hint="eastAsia" w:ascii="仿宋" w:hAnsi="仿宋" w:cs="仿宋"/>
          <w:bCs/>
          <w:color w:val="auto"/>
          <w:sz w:val="32"/>
          <w:szCs w:val="32"/>
          <w:highlight w:val="none"/>
          <w:lang w:val="en-US" w:eastAsia="zh-CN"/>
        </w:rPr>
        <w:t>30</w:t>
      </w:r>
      <w:r>
        <w:rPr>
          <w:rFonts w:hint="eastAsia" w:ascii="仿宋" w:hAnsi="仿宋" w:cs="仿宋"/>
          <w:bCs/>
          <w:color w:val="auto"/>
          <w:sz w:val="32"/>
          <w:szCs w:val="32"/>
          <w:highlight w:val="none"/>
        </w:rPr>
        <w:t>分，扣分</w:t>
      </w:r>
      <w:r>
        <w:rPr>
          <w:rFonts w:hint="eastAsia" w:ascii="仿宋" w:hAnsi="仿宋" w:cs="仿宋"/>
          <w:bCs/>
          <w:color w:val="auto"/>
          <w:sz w:val="32"/>
          <w:szCs w:val="32"/>
          <w:highlight w:val="none"/>
          <w:lang w:val="en-US" w:eastAsia="zh-CN"/>
        </w:rPr>
        <w:t>2.49</w:t>
      </w:r>
      <w:r>
        <w:rPr>
          <w:rFonts w:hint="eastAsia" w:ascii="仿宋" w:hAnsi="仿宋" w:cs="仿宋"/>
          <w:bCs/>
          <w:color w:val="auto"/>
          <w:sz w:val="32"/>
          <w:szCs w:val="32"/>
          <w:highlight w:val="none"/>
        </w:rPr>
        <w:t>分，评价得分</w:t>
      </w:r>
      <w:r>
        <w:rPr>
          <w:rFonts w:hint="eastAsia" w:ascii="仿宋" w:hAnsi="仿宋" w:cs="仿宋"/>
          <w:bCs/>
          <w:color w:val="auto"/>
          <w:sz w:val="32"/>
          <w:szCs w:val="32"/>
          <w:highlight w:val="none"/>
          <w:lang w:val="en-US" w:eastAsia="zh-CN"/>
        </w:rPr>
        <w:t>27.51</w:t>
      </w:r>
      <w:r>
        <w:rPr>
          <w:rFonts w:hint="eastAsia" w:ascii="仿宋" w:hAnsi="仿宋" w:cs="仿宋"/>
          <w:bCs/>
          <w:color w:val="auto"/>
          <w:sz w:val="32"/>
          <w:szCs w:val="32"/>
          <w:highlight w:val="none"/>
        </w:rPr>
        <w:t>分。</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仿宋" w:hAnsi="仿宋" w:cs="仿宋"/>
          <w:color w:val="auto"/>
          <w:sz w:val="32"/>
          <w:szCs w:val="32"/>
          <w:highlight w:val="none"/>
        </w:rPr>
      </w:pPr>
      <w:r>
        <w:rPr>
          <w:rFonts w:hint="eastAsia" w:ascii="仿宋" w:hAnsi="仿宋" w:cs="仿宋"/>
          <w:color w:val="auto"/>
          <w:sz w:val="32"/>
          <w:szCs w:val="32"/>
          <w:highlight w:val="none"/>
        </w:rPr>
        <w:t>4、项目效益阶段，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color w:val="auto"/>
          <w:sz w:val="32"/>
          <w:szCs w:val="32"/>
          <w:highlight w:val="none"/>
        </w:rPr>
        <w:t>项目进行后社会效益显著</w:t>
      </w:r>
      <w:r>
        <w:rPr>
          <w:rFonts w:hint="eastAsia" w:ascii="仿宋" w:hAnsi="仿宋" w:cs="仿宋"/>
          <w:bCs/>
          <w:color w:val="auto"/>
          <w:sz w:val="32"/>
          <w:szCs w:val="32"/>
          <w:highlight w:val="none"/>
        </w:rPr>
        <w:t>（</w:t>
      </w:r>
      <w:r>
        <w:rPr>
          <w:rFonts w:hint="eastAsia" w:ascii="仿宋" w:hAnsi="仿宋" w:cs="仿宋"/>
          <w:color w:val="auto"/>
          <w:sz w:val="32"/>
          <w:szCs w:val="32"/>
          <w:highlight w:val="none"/>
          <w:lang w:eastAsia="zh-CN"/>
        </w:rPr>
        <w:t>深化城市环卫园林养护作业体制改革，全面提高园林绿化养护作业质量和管理水平。建立环卫园林作业市场体系，为黄石市创造洁净优美、宜游宜居的城市环境发挥积极作用。</w:t>
      </w:r>
      <w:r>
        <w:rPr>
          <w:rFonts w:hint="eastAsia" w:ascii="仿宋" w:hAnsi="仿宋" w:cs="仿宋"/>
          <w:color w:val="auto"/>
          <w:sz w:val="32"/>
          <w:szCs w:val="32"/>
          <w:highlight w:val="none"/>
        </w:rPr>
        <w:t>改革范围内的在职在册人员由各城区通过转岗等渠道进行安置，待遇保持不变；聘用人员遗留问题由原用人单位根据实际情况予以妥善处理，促进社会和谐稳定</w:t>
      </w:r>
      <w:r>
        <w:rPr>
          <w:rFonts w:hint="eastAsia" w:ascii="仿宋" w:hAnsi="仿宋" w:cs="仿宋"/>
          <w:color w:val="auto"/>
          <w:sz w:val="32"/>
          <w:szCs w:val="32"/>
          <w:highlight w:val="none"/>
          <w:lang w:eastAsia="zh-CN"/>
        </w:rPr>
        <w:t>）</w:t>
      </w:r>
      <w:r>
        <w:rPr>
          <w:rFonts w:hint="eastAsia" w:ascii="仿宋" w:hAnsi="仿宋" w:cs="仿宋"/>
          <w:color w:val="auto"/>
          <w:sz w:val="32"/>
          <w:szCs w:val="32"/>
          <w:highlight w:val="none"/>
        </w:rPr>
        <w:t>。项目的实施，以《黄石市城区环卫园林作业市场化改革实施方案》（黄政办发〔2021〕17号）为</w:t>
      </w:r>
      <w:r>
        <w:rPr>
          <w:rFonts w:hint="eastAsia" w:ascii="仿宋" w:hAnsi="仿宋" w:cs="仿宋"/>
          <w:color w:val="auto"/>
          <w:sz w:val="32"/>
          <w:szCs w:val="32"/>
          <w:highlight w:val="none"/>
          <w:lang w:eastAsia="zh-CN"/>
        </w:rPr>
        <w:t>依据</w:t>
      </w:r>
      <w:r>
        <w:rPr>
          <w:rFonts w:hint="eastAsia" w:ascii="仿宋" w:hAnsi="仿宋" w:cs="仿宋"/>
          <w:color w:val="auto"/>
          <w:sz w:val="32"/>
          <w:szCs w:val="32"/>
          <w:highlight w:val="none"/>
        </w:rPr>
        <w:t>，纳入国民经济和社会发展规划，市、区两级财政安排资金予以保障，将产生可持续性影响。公众综合满意度较高（</w:t>
      </w:r>
      <w:r>
        <w:rPr>
          <w:rFonts w:hint="eastAsia" w:ascii="仿宋" w:hAnsi="仿宋" w:cs="仿宋"/>
          <w:color w:val="auto"/>
          <w:sz w:val="32"/>
          <w:szCs w:val="32"/>
          <w:highlight w:val="none"/>
          <w:lang w:val="en-US" w:eastAsia="zh-CN"/>
        </w:rPr>
        <w:t>80.92</w:t>
      </w:r>
      <w:r>
        <w:rPr>
          <w:rFonts w:hint="eastAsia" w:ascii="仿宋" w:hAnsi="仿宋" w:cs="仿宋"/>
          <w:color w:val="auto"/>
          <w:sz w:val="32"/>
          <w:szCs w:val="32"/>
          <w:highlight w:val="none"/>
        </w:rPr>
        <w:t>%）</w:t>
      </w:r>
      <w:r>
        <w:rPr>
          <w:rFonts w:hint="eastAsia" w:ascii="仿宋" w:hAnsi="仿宋" w:cs="仿宋"/>
          <w:bCs/>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ascii="仿宋" w:hAnsi="仿宋" w:cs="仿宋"/>
          <w:bCs/>
          <w:color w:val="auto"/>
          <w:sz w:val="32"/>
          <w:szCs w:val="32"/>
          <w:highlight w:val="none"/>
        </w:rPr>
      </w:pPr>
      <w:r>
        <w:rPr>
          <w:rFonts w:hint="eastAsia" w:ascii="仿宋" w:hAnsi="仿宋" w:cs="仿宋"/>
          <w:bCs/>
          <w:color w:val="auto"/>
          <w:sz w:val="32"/>
          <w:szCs w:val="32"/>
          <w:highlight w:val="none"/>
        </w:rPr>
        <w:t>标准分</w:t>
      </w:r>
      <w:r>
        <w:rPr>
          <w:rFonts w:hint="eastAsia" w:ascii="仿宋" w:hAnsi="仿宋" w:cs="仿宋"/>
          <w:bCs/>
          <w:color w:val="auto"/>
          <w:sz w:val="32"/>
          <w:szCs w:val="32"/>
          <w:highlight w:val="none"/>
          <w:lang w:val="en-US" w:eastAsia="zh-CN"/>
        </w:rPr>
        <w:t>35</w:t>
      </w:r>
      <w:r>
        <w:rPr>
          <w:rFonts w:hint="eastAsia" w:ascii="仿宋" w:hAnsi="仿宋" w:cs="仿宋"/>
          <w:bCs/>
          <w:color w:val="auto"/>
          <w:sz w:val="32"/>
          <w:szCs w:val="32"/>
          <w:highlight w:val="none"/>
        </w:rPr>
        <w:t>分，扣分</w:t>
      </w:r>
      <w:r>
        <w:rPr>
          <w:rFonts w:hint="eastAsia" w:ascii="仿宋" w:hAnsi="仿宋" w:cs="仿宋"/>
          <w:bCs/>
          <w:color w:val="auto"/>
          <w:sz w:val="32"/>
          <w:szCs w:val="32"/>
          <w:highlight w:val="none"/>
          <w:lang w:val="en-US" w:eastAsia="zh-CN"/>
        </w:rPr>
        <w:t>6.01</w:t>
      </w:r>
      <w:r>
        <w:rPr>
          <w:rFonts w:hint="eastAsia" w:ascii="仿宋" w:hAnsi="仿宋" w:cs="仿宋"/>
          <w:bCs/>
          <w:color w:val="auto"/>
          <w:sz w:val="32"/>
          <w:szCs w:val="32"/>
          <w:highlight w:val="none"/>
        </w:rPr>
        <w:t>分，评价得分</w:t>
      </w:r>
      <w:r>
        <w:rPr>
          <w:rFonts w:hint="eastAsia" w:ascii="仿宋" w:hAnsi="仿宋" w:cs="仿宋"/>
          <w:bCs/>
          <w:color w:val="auto"/>
          <w:sz w:val="32"/>
          <w:szCs w:val="32"/>
          <w:highlight w:val="none"/>
          <w:lang w:val="en-US" w:eastAsia="zh-CN"/>
        </w:rPr>
        <w:t>28.99</w:t>
      </w:r>
      <w:r>
        <w:rPr>
          <w:rFonts w:hint="eastAsia" w:ascii="仿宋" w:hAnsi="仿宋" w:cs="仿宋"/>
          <w:bCs/>
          <w:color w:val="auto"/>
          <w:sz w:val="32"/>
          <w:szCs w:val="32"/>
          <w:highlight w:val="none"/>
        </w:rPr>
        <w:t>分。</w:t>
      </w:r>
    </w:p>
    <w:p>
      <w:pPr>
        <w:pStyle w:val="5"/>
        <w:pageBreakBefore w:val="0"/>
        <w:widowControl w:val="0"/>
        <w:kinsoku/>
        <w:wordWrap/>
        <w:overflowPunct/>
        <w:topLinePunct w:val="0"/>
        <w:autoSpaceDE/>
        <w:autoSpaceDN/>
        <w:bidi w:val="0"/>
        <w:adjustRightInd/>
        <w:snapToGrid/>
        <w:spacing w:before="0" w:after="0" w:line="560" w:lineRule="exact"/>
        <w:ind w:left="0" w:firstLine="640" w:firstLineChars="200"/>
        <w:textAlignment w:val="auto"/>
        <w:rPr>
          <w:rStyle w:val="28"/>
          <w:rFonts w:ascii="楷体" w:hAnsi="楷体" w:eastAsia="楷体" w:cs="楷体"/>
          <w:color w:val="auto"/>
          <w:sz w:val="32"/>
          <w:szCs w:val="32"/>
          <w:highlight w:val="none"/>
        </w:rPr>
      </w:pPr>
      <w:bookmarkStart w:id="10" w:name="_Toc7784"/>
      <w:bookmarkStart w:id="11" w:name="_Toc11596"/>
      <w:bookmarkStart w:id="12" w:name="_Toc23868"/>
      <w:bookmarkStart w:id="13" w:name="_Toc45724241"/>
      <w:r>
        <w:rPr>
          <w:rFonts w:hint="eastAsia" w:ascii="楷体" w:hAnsi="楷体" w:eastAsia="楷体" w:cs="楷体"/>
          <w:color w:val="auto"/>
          <w:sz w:val="32"/>
          <w:szCs w:val="32"/>
          <w:highlight w:val="none"/>
        </w:rPr>
        <w:t>（三）存在的问题</w:t>
      </w:r>
      <w:bookmarkEnd w:id="10"/>
      <w:bookmarkEnd w:id="11"/>
      <w:bookmarkEnd w:id="12"/>
      <w:bookmarkEnd w:id="13"/>
    </w:p>
    <w:p>
      <w:pPr>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上年度或以前年度绩效评价结果应用情况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上年度或以前年度无“</w:t>
      </w:r>
      <w:r>
        <w:rPr>
          <w:rFonts w:hint="eastAsia" w:ascii="仿宋" w:hAnsi="仿宋" w:cs="仿宋"/>
          <w:color w:val="auto"/>
          <w:kern w:val="0"/>
          <w:sz w:val="32"/>
          <w:szCs w:val="32"/>
          <w:highlight w:val="none"/>
          <w:lang w:eastAsia="zh-CN"/>
        </w:rPr>
        <w:t>市政维护道路及管网项目</w:t>
      </w:r>
      <w:r>
        <w:rPr>
          <w:rFonts w:hint="eastAsia" w:ascii="仿宋" w:hAnsi="仿宋" w:cs="仿宋"/>
          <w:color w:val="auto"/>
          <w:sz w:val="32"/>
          <w:szCs w:val="32"/>
          <w:highlight w:val="none"/>
        </w:rPr>
        <w:t>”的绩效评价，故无相关绩效评价结果应用。</w:t>
      </w:r>
    </w:p>
    <w:p>
      <w:pPr>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本年度绩效评价管理中发现的问题</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仿宋" w:hAnsi="仿宋" w:cs="仿宋"/>
          <w:bCs/>
          <w:color w:val="auto"/>
          <w:sz w:val="32"/>
          <w:szCs w:val="32"/>
          <w:highlight w:val="none"/>
          <w:lang w:val="en-US"/>
        </w:rPr>
      </w:pPr>
      <w:bookmarkStart w:id="14" w:name="_Toc5567"/>
      <w:bookmarkStart w:id="15" w:name="_Toc15693"/>
      <w:bookmarkStart w:id="16" w:name="_Toc45724244"/>
      <w:bookmarkStart w:id="17" w:name="_Toc15960"/>
      <w:r>
        <w:rPr>
          <w:rFonts w:hint="eastAsia" w:ascii="仿宋" w:hAnsi="仿宋" w:cs="仿宋"/>
          <w:bCs/>
          <w:color w:val="auto"/>
          <w:sz w:val="32"/>
          <w:szCs w:val="32"/>
          <w:highlight w:val="none"/>
        </w:rPr>
        <w:t>（1）</w:t>
      </w:r>
      <w:r>
        <w:rPr>
          <w:rFonts w:hint="eastAsia" w:ascii="仿宋" w:hAnsi="仿宋" w:cs="仿宋"/>
          <w:bCs/>
          <w:color w:val="auto"/>
          <w:sz w:val="32"/>
          <w:szCs w:val="32"/>
          <w:highlight w:val="none"/>
          <w:lang w:eastAsia="zh-CN"/>
        </w:rPr>
        <w:t>项目</w:t>
      </w:r>
      <w:r>
        <w:rPr>
          <w:rFonts w:hint="eastAsia" w:ascii="仿宋" w:hAnsi="仿宋" w:cs="仿宋"/>
          <w:b w:val="0"/>
          <w:bCs w:val="0"/>
          <w:color w:val="auto"/>
          <w:sz w:val="32"/>
          <w:szCs w:val="32"/>
          <w:highlight w:val="none"/>
          <w:lang w:val="en-US" w:eastAsia="zh-CN"/>
        </w:rPr>
        <w:t>绩效目标管理薄弱</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lang w:eastAsia="zh-CN"/>
        </w:rPr>
      </w:pPr>
      <w:r>
        <w:rPr>
          <w:rFonts w:hint="eastAsia" w:ascii="仿宋" w:hAnsi="仿宋" w:cs="仿宋"/>
          <w:color w:val="auto"/>
          <w:sz w:val="32"/>
          <w:szCs w:val="32"/>
          <w:highlight w:val="none"/>
          <w:lang w:eastAsia="zh-CN"/>
        </w:rPr>
        <w:t>《项目支出绩效目标申报表（2022年下陆区市政维护道路及管网项目）》</w:t>
      </w:r>
      <w:r>
        <w:rPr>
          <w:rFonts w:hint="eastAsia" w:cs="仿宋"/>
          <w:color w:val="auto"/>
          <w:sz w:val="32"/>
          <w:szCs w:val="32"/>
          <w:highlight w:val="none"/>
          <w:lang w:eastAsia="zh-CN"/>
        </w:rPr>
        <w:t>显示：</w:t>
      </w:r>
      <w:r>
        <w:rPr>
          <w:rFonts w:hint="eastAsia" w:ascii="仿宋" w:hAnsi="仿宋" w:cs="仿宋"/>
          <w:color w:val="auto"/>
          <w:sz w:val="32"/>
          <w:szCs w:val="32"/>
          <w:highlight w:val="none"/>
          <w:lang w:eastAsia="zh-CN"/>
        </w:rPr>
        <w:t>项目设定了总目标和绩效指标，但是目标和指标的设计不符合目标管理规范，如:质量指标、时效指标和效益指标均为空白</w:t>
      </w:r>
      <w:r>
        <w:rPr>
          <w:rFonts w:hint="eastAsia" w:cs="仿宋"/>
          <w:color w:val="auto"/>
          <w:sz w:val="32"/>
          <w:szCs w:val="32"/>
          <w:highlight w:val="none"/>
          <w:lang w:eastAsia="zh-CN"/>
        </w:rPr>
        <w:t>，</w:t>
      </w:r>
      <w:r>
        <w:rPr>
          <w:rFonts w:hint="eastAsia" w:ascii="仿宋" w:hAnsi="仿宋" w:cs="仿宋"/>
          <w:color w:val="auto"/>
          <w:sz w:val="32"/>
          <w:szCs w:val="32"/>
          <w:highlight w:val="none"/>
          <w:lang w:eastAsia="zh-CN"/>
        </w:rPr>
        <w:t>绩效指标量化较差</w:t>
      </w:r>
      <w:r>
        <w:rPr>
          <w:rFonts w:hint="eastAsia" w:cs="仿宋"/>
          <w:color w:val="auto"/>
          <w:sz w:val="32"/>
          <w:szCs w:val="32"/>
          <w:highlight w:val="none"/>
          <w:lang w:eastAsia="zh-CN"/>
        </w:rPr>
        <w:t>。</w:t>
      </w:r>
    </w:p>
    <w:p>
      <w:pPr>
        <w:pStyle w:val="14"/>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eastAsia="仿宋"/>
          <w:bCs/>
          <w:color w:val="auto"/>
          <w:sz w:val="32"/>
          <w:highlight w:val="none"/>
          <w:lang w:val="en-US" w:eastAsia="zh-CN"/>
        </w:rPr>
      </w:pPr>
      <w:r>
        <w:rPr>
          <w:rFonts w:hint="eastAsia"/>
          <w:bCs/>
          <w:color w:val="auto"/>
          <w:sz w:val="32"/>
          <w:highlight w:val="none"/>
        </w:rPr>
        <w:t>（2）</w:t>
      </w:r>
      <w:r>
        <w:rPr>
          <w:rFonts w:hint="eastAsia"/>
          <w:bCs/>
          <w:color w:val="auto"/>
          <w:sz w:val="32"/>
          <w:highlight w:val="none"/>
          <w:lang w:val="en-US" w:eastAsia="zh-CN"/>
        </w:rPr>
        <w:t>项目预算实际执行偏低</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bCs/>
          <w:color w:val="auto"/>
          <w:sz w:val="32"/>
          <w:highlight w:val="none"/>
          <w:lang w:val="en-US"/>
        </w:rPr>
      </w:pPr>
      <w:r>
        <w:rPr>
          <w:rFonts w:hint="eastAsia" w:ascii="仿宋" w:hAnsi="仿宋" w:cs="仿宋"/>
          <w:color w:val="auto"/>
          <w:kern w:val="0"/>
          <w:sz w:val="32"/>
          <w:szCs w:val="32"/>
          <w:highlight w:val="none"/>
          <w:lang w:eastAsia="zh-CN"/>
        </w:rPr>
        <w:t>下陆区2022年市政维护道路及管网项目实际到位资金600万元，实际支出440.40万元，预算执行率73.40%。预算执行率偏低的主要原因：预算安排偏大，如：人员经费计划保障</w:t>
      </w:r>
      <w:r>
        <w:rPr>
          <w:rFonts w:hint="eastAsia" w:ascii="仿宋" w:hAnsi="仿宋" w:cs="仿宋"/>
          <w:color w:val="auto"/>
          <w:kern w:val="0"/>
          <w:sz w:val="32"/>
          <w:szCs w:val="32"/>
          <w:highlight w:val="none"/>
          <w:lang w:val="en-US" w:eastAsia="zh-CN"/>
        </w:rPr>
        <w:t>23人，实际保障20人（2022年6月工资发放人数）；</w:t>
      </w:r>
      <w:r>
        <w:rPr>
          <w:rFonts w:hint="eastAsia" w:ascii="仿宋" w:hAnsi="仿宋" w:cs="仿宋"/>
          <w:color w:val="auto"/>
          <w:kern w:val="0"/>
          <w:sz w:val="32"/>
          <w:szCs w:val="32"/>
          <w:highlight w:val="none"/>
          <w:lang w:eastAsia="zh-CN"/>
        </w:rPr>
        <w:t>车辆运行费用预算安排</w:t>
      </w:r>
      <w:r>
        <w:rPr>
          <w:rFonts w:hint="eastAsia" w:ascii="仿宋" w:hAnsi="仿宋" w:cs="仿宋"/>
          <w:color w:val="auto"/>
          <w:kern w:val="0"/>
          <w:sz w:val="32"/>
          <w:szCs w:val="32"/>
          <w:highlight w:val="none"/>
          <w:lang w:val="en-US" w:eastAsia="zh-CN"/>
        </w:rPr>
        <w:t>35</w:t>
      </w:r>
      <w:r>
        <w:rPr>
          <w:rFonts w:hint="eastAsia" w:ascii="仿宋" w:hAnsi="仿宋" w:cs="仿宋"/>
          <w:color w:val="auto"/>
          <w:kern w:val="0"/>
          <w:sz w:val="32"/>
          <w:szCs w:val="32"/>
          <w:highlight w:val="none"/>
          <w:lang w:eastAsia="zh-CN"/>
        </w:rPr>
        <w:t>万元，实际支出</w:t>
      </w:r>
      <w:r>
        <w:rPr>
          <w:rFonts w:hint="eastAsia" w:ascii="仿宋" w:hAnsi="仿宋" w:cs="仿宋"/>
          <w:color w:val="auto"/>
          <w:kern w:val="0"/>
          <w:sz w:val="32"/>
          <w:szCs w:val="32"/>
          <w:highlight w:val="none"/>
          <w:lang w:val="en-US" w:eastAsia="zh-CN"/>
        </w:rPr>
        <w:t>10.82</w:t>
      </w:r>
      <w:r>
        <w:rPr>
          <w:rFonts w:hint="eastAsia" w:ascii="仿宋" w:hAnsi="仿宋" w:cs="仿宋"/>
          <w:color w:val="auto"/>
          <w:kern w:val="0"/>
          <w:sz w:val="32"/>
          <w:szCs w:val="32"/>
          <w:highlight w:val="none"/>
          <w:lang w:eastAsia="zh-CN"/>
        </w:rPr>
        <w:t>万元</w:t>
      </w:r>
      <w:r>
        <w:rPr>
          <w:rFonts w:hint="eastAsia" w:ascii="仿宋" w:hAnsi="仿宋" w:cs="仿宋"/>
          <w:color w:val="auto"/>
          <w:kern w:val="0"/>
          <w:sz w:val="32"/>
          <w:szCs w:val="32"/>
          <w:highlight w:val="none"/>
          <w:lang w:val="en-US" w:eastAsia="zh-CN"/>
        </w:rPr>
        <w:t>(2022年全年未见车辆油料费用）</w:t>
      </w:r>
      <w:r>
        <w:rPr>
          <w:rFonts w:hint="eastAsia" w:ascii="仿宋" w:hAnsi="仿宋" w:cs="仿宋"/>
          <w:color w:val="auto"/>
          <w:kern w:val="0"/>
          <w:sz w:val="32"/>
          <w:szCs w:val="32"/>
          <w:highlight w:val="none"/>
          <w:lang w:eastAsia="zh-CN"/>
        </w:rPr>
        <w:t>。</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仿宋" w:hAnsi="仿宋" w:eastAsia="仿宋" w:cs="仿宋"/>
          <w:bCs/>
          <w:color w:val="auto"/>
          <w:sz w:val="32"/>
          <w:szCs w:val="32"/>
          <w:highlight w:val="none"/>
          <w:lang w:val="en-US" w:eastAsia="zh-CN"/>
        </w:rPr>
      </w:pPr>
      <w:r>
        <w:rPr>
          <w:rFonts w:hint="eastAsia" w:ascii="仿宋" w:hAnsi="仿宋" w:cs="仿宋"/>
          <w:bCs/>
          <w:color w:val="auto"/>
          <w:sz w:val="32"/>
          <w:szCs w:val="32"/>
          <w:highlight w:val="none"/>
        </w:rPr>
        <w:t>（3）</w:t>
      </w:r>
      <w:r>
        <w:rPr>
          <w:rFonts w:hint="eastAsia" w:ascii="仿宋" w:hAnsi="仿宋" w:cs="仿宋"/>
          <w:bCs/>
          <w:color w:val="auto"/>
          <w:sz w:val="32"/>
          <w:szCs w:val="32"/>
          <w:highlight w:val="none"/>
          <w:lang w:val="en-US" w:eastAsia="zh-CN"/>
        </w:rPr>
        <w:t>公共安全事故偶有发生</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lang w:eastAsia="zh-CN"/>
        </w:rPr>
        <w:t>检查财务资料（2022年10月60#凭证、11月64#凭证），我们发现：2021年3月因花坛防护网清理不及时，导致市民卢伟受伤，2022年8月市中级人民法院二审判赔2.81万元，执行款在本项目列支。2022年5月因市妇幼医院门前排水井盖维护不善，导致市民明靓受伤，经省信访局督办，区城管执法局协议赔偿1.18万元，赔偿款在本项目列支</w:t>
      </w:r>
      <w:r>
        <w:rPr>
          <w:rFonts w:hint="eastAsia" w:ascii="仿宋" w:hAnsi="仿宋" w:cs="仿宋"/>
          <w:color w:val="auto"/>
          <w:sz w:val="32"/>
          <w:szCs w:val="32"/>
          <w:highlight w:val="none"/>
        </w:rPr>
        <w:t>。</w:t>
      </w:r>
    </w:p>
    <w:p>
      <w:pPr>
        <w:pStyle w:val="5"/>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（四）结果应用建议</w:t>
      </w:r>
      <w:bookmarkEnd w:id="14"/>
      <w:bookmarkEnd w:id="15"/>
      <w:bookmarkEnd w:id="16"/>
      <w:bookmarkEnd w:id="17"/>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contextualSpacing/>
        <w:textAlignment w:val="auto"/>
        <w:rPr>
          <w:rFonts w:hint="default" w:ascii="仿宋" w:hAnsi="仿宋" w:cs="仿宋"/>
          <w:b w:val="0"/>
          <w:bCs w:val="0"/>
          <w:color w:val="auto"/>
          <w:sz w:val="32"/>
          <w:szCs w:val="32"/>
          <w:highlight w:val="none"/>
          <w:lang w:val="en-US" w:eastAsia="zh-CN"/>
        </w:rPr>
      </w:pPr>
      <w:r>
        <w:rPr>
          <w:rFonts w:hint="eastAsia" w:ascii="仿宋" w:hAnsi="仿宋" w:cs="仿宋"/>
          <w:b w:val="0"/>
          <w:bCs w:val="0"/>
          <w:color w:val="auto"/>
          <w:sz w:val="32"/>
          <w:szCs w:val="32"/>
          <w:highlight w:val="none"/>
          <w:lang w:val="en-US" w:eastAsia="zh-CN"/>
        </w:rPr>
        <w:t>（1）</w:t>
      </w:r>
      <w:r>
        <w:rPr>
          <w:rFonts w:hint="eastAsia" w:ascii="仿宋" w:hAnsi="仿宋" w:cs="仿宋"/>
          <w:bCs/>
          <w:color w:val="auto"/>
          <w:sz w:val="32"/>
          <w:szCs w:val="32"/>
          <w:highlight w:val="none"/>
          <w:lang w:val="en-US" w:eastAsia="zh-CN"/>
        </w:rPr>
        <w:t>预算单位（</w:t>
      </w:r>
      <w:r>
        <w:rPr>
          <w:rFonts w:hint="eastAsia" w:ascii="仿宋" w:hAnsi="仿宋" w:cs="仿宋"/>
          <w:bCs/>
          <w:color w:val="auto"/>
          <w:sz w:val="32"/>
          <w:szCs w:val="32"/>
          <w:highlight w:val="none"/>
          <w:lang w:eastAsia="zh-CN"/>
        </w:rPr>
        <w:t>黄石市下陆区城市管理执法局）</w:t>
      </w:r>
      <w:r>
        <w:rPr>
          <w:rFonts w:hint="eastAsia" w:ascii="仿宋" w:hAnsi="仿宋" w:cs="仿宋"/>
          <w:bCs/>
          <w:color w:val="auto"/>
          <w:sz w:val="32"/>
          <w:szCs w:val="32"/>
          <w:highlight w:val="none"/>
          <w:lang w:val="en-US" w:eastAsia="zh-CN"/>
        </w:rPr>
        <w:t>今后</w:t>
      </w:r>
      <w:r>
        <w:rPr>
          <w:rFonts w:hint="eastAsia" w:ascii="仿宋" w:hAnsi="仿宋" w:cs="仿宋"/>
          <w:b w:val="0"/>
          <w:bCs w:val="0"/>
          <w:color w:val="auto"/>
          <w:sz w:val="32"/>
          <w:szCs w:val="32"/>
          <w:highlight w:val="none"/>
          <w:lang w:val="en-US" w:eastAsia="zh-CN"/>
        </w:rPr>
        <w:t>在项目绩效指标管理上应认真编制、复核，建立事前绩效评估机制，作为申请预算的必要条件。</w:t>
      </w:r>
      <w:r>
        <w:rPr>
          <w:rFonts w:hint="eastAsia" w:ascii="仿宋" w:hAnsi="仿宋" w:cs="仿宋"/>
          <w:bCs/>
          <w:color w:val="auto"/>
          <w:sz w:val="32"/>
          <w:szCs w:val="32"/>
          <w:highlight w:val="none"/>
          <w:lang w:eastAsia="zh-CN"/>
        </w:rPr>
        <w:t>区</w:t>
      </w:r>
      <w:r>
        <w:rPr>
          <w:rFonts w:hint="eastAsia" w:ascii="仿宋" w:hAnsi="仿宋" w:cs="仿宋"/>
          <w:b w:val="0"/>
          <w:bCs w:val="0"/>
          <w:color w:val="auto"/>
          <w:sz w:val="32"/>
          <w:szCs w:val="32"/>
          <w:highlight w:val="none"/>
          <w:lang w:val="en-US" w:eastAsia="zh-CN"/>
        </w:rPr>
        <w:t>财政局应加强项目预算和绩效目标审核，强化绩效目标管理，将绩效目标与预算批复同步下达。</w:t>
      </w:r>
    </w:p>
    <w:p>
      <w:pPr>
        <w:pageBreakBefore w:val="0"/>
        <w:widowControl w:val="0"/>
        <w:shd w:val="clear" w:color="auto" w:fill="FFFFFF"/>
        <w:kinsoku/>
        <w:wordWrap/>
        <w:overflowPunct/>
        <w:topLinePunct w:val="0"/>
        <w:autoSpaceDE/>
        <w:autoSpaceDN/>
        <w:bidi w:val="0"/>
        <w:adjustRightInd/>
        <w:snapToGrid/>
        <w:spacing w:line="560" w:lineRule="exact"/>
        <w:ind w:firstLine="640" w:firstLineChars="200"/>
        <w:contextualSpacing/>
        <w:textAlignment w:val="auto"/>
        <w:rPr>
          <w:rFonts w:hint="eastAsia"/>
          <w:bCs/>
          <w:color w:val="auto"/>
          <w:sz w:val="32"/>
          <w:highlight w:val="none"/>
          <w:lang w:val="en-US" w:eastAsia="zh-CN"/>
        </w:rPr>
      </w:pPr>
      <w:r>
        <w:rPr>
          <w:rFonts w:hint="eastAsia" w:ascii="仿宋" w:hAnsi="仿宋" w:cs="仿宋"/>
          <w:bCs/>
          <w:color w:val="auto"/>
          <w:sz w:val="32"/>
          <w:szCs w:val="32"/>
          <w:highlight w:val="none"/>
        </w:rPr>
        <w:t>（2）</w:t>
      </w:r>
      <w:r>
        <w:rPr>
          <w:rFonts w:hint="eastAsia" w:ascii="仿宋" w:hAnsi="仿宋" w:cs="仿宋"/>
          <w:bCs/>
          <w:color w:val="auto"/>
          <w:sz w:val="32"/>
          <w:szCs w:val="32"/>
          <w:highlight w:val="none"/>
          <w:lang w:eastAsia="zh-CN"/>
        </w:rPr>
        <w:t>黄石市下陆区财政局</w:t>
      </w:r>
      <w:r>
        <w:rPr>
          <w:rFonts w:hint="eastAsia" w:ascii="仿宋" w:hAnsi="仿宋" w:cs="仿宋"/>
          <w:b w:val="0"/>
          <w:bCs w:val="0"/>
          <w:color w:val="auto"/>
          <w:sz w:val="32"/>
          <w:szCs w:val="32"/>
          <w:highlight w:val="none"/>
          <w:lang w:val="en-US" w:eastAsia="zh-CN"/>
        </w:rPr>
        <w:t>应加强项目预算审核，依据《下陆区区级财政结转结余资金管理办法》（黄下财发〔2022〕8号），落实财政结转结余资金使用与年度预算统筹结合机制，对预算执行进度慢和结转结余资金规模大的项目，适当核减</w:t>
      </w:r>
      <w:r>
        <w:rPr>
          <w:rFonts w:hint="eastAsia" w:ascii="仿宋" w:hAnsi="仿宋" w:cs="仿宋"/>
          <w:bCs/>
          <w:color w:val="auto"/>
          <w:sz w:val="32"/>
          <w:szCs w:val="32"/>
          <w:highlight w:val="none"/>
          <w:lang w:eastAsia="zh-CN"/>
        </w:rPr>
        <w:t>区城市管理执法局</w:t>
      </w:r>
      <w:r>
        <w:rPr>
          <w:rFonts w:hint="eastAsia" w:ascii="仿宋" w:hAnsi="仿宋" w:cs="仿宋"/>
          <w:b w:val="0"/>
          <w:bCs w:val="0"/>
          <w:color w:val="auto"/>
          <w:sz w:val="32"/>
          <w:szCs w:val="32"/>
          <w:highlight w:val="none"/>
          <w:lang w:val="en-US" w:eastAsia="zh-CN"/>
        </w:rPr>
        <w:t>下年度项目支出规模</w:t>
      </w:r>
      <w:r>
        <w:rPr>
          <w:rFonts w:hint="eastAsia"/>
          <w:bCs/>
          <w:color w:val="auto"/>
          <w:sz w:val="32"/>
          <w:highlight w:val="none"/>
          <w:lang w:val="en-US" w:eastAsia="zh-CN"/>
        </w:rPr>
        <w:t>。</w:t>
      </w:r>
    </w:p>
    <w:p>
      <w:pPr>
        <w:pageBreakBefore w:val="0"/>
        <w:widowControl w:val="0"/>
        <w:shd w:val="clear" w:color="auto" w:fill="FFFFFF"/>
        <w:kinsoku/>
        <w:wordWrap/>
        <w:overflowPunct/>
        <w:topLinePunct w:val="0"/>
        <w:autoSpaceDE/>
        <w:autoSpaceDN/>
        <w:bidi w:val="0"/>
        <w:adjustRightInd/>
        <w:snapToGrid/>
        <w:spacing w:line="560" w:lineRule="exact"/>
        <w:ind w:firstLine="640" w:firstLineChars="200"/>
        <w:contextualSpacing/>
        <w:textAlignment w:val="auto"/>
        <w:rPr>
          <w:rFonts w:hint="eastAsia" w:ascii="仿宋" w:hAnsi="仿宋" w:cs="仿宋"/>
          <w:bCs/>
          <w:color w:val="auto"/>
          <w:sz w:val="32"/>
          <w:szCs w:val="32"/>
          <w:highlight w:val="none"/>
          <w:lang w:eastAsia="zh-CN"/>
        </w:rPr>
      </w:pPr>
      <w:r>
        <w:rPr>
          <w:rFonts w:hint="eastAsia" w:ascii="仿宋" w:hAnsi="仿宋" w:cs="仿宋"/>
          <w:bCs/>
          <w:color w:val="auto"/>
          <w:sz w:val="32"/>
          <w:szCs w:val="32"/>
          <w:highlight w:val="none"/>
        </w:rPr>
        <w:t>（3）</w:t>
      </w:r>
      <w:r>
        <w:rPr>
          <w:rFonts w:hint="eastAsia" w:ascii="仿宋" w:hAnsi="仿宋" w:cs="仿宋"/>
          <w:bCs/>
          <w:color w:val="auto"/>
          <w:sz w:val="32"/>
          <w:szCs w:val="32"/>
          <w:highlight w:val="none"/>
          <w:lang w:eastAsia="zh-CN"/>
        </w:rPr>
        <w:t>黄石市下陆区城市管理执法局</w:t>
      </w:r>
      <w:r>
        <w:rPr>
          <w:rFonts w:hint="eastAsia" w:ascii="仿宋" w:hAnsi="仿宋" w:cs="仿宋"/>
          <w:b w:val="0"/>
          <w:bCs w:val="0"/>
          <w:color w:val="auto"/>
          <w:sz w:val="32"/>
          <w:szCs w:val="32"/>
          <w:highlight w:val="none"/>
          <w:lang w:val="en-US" w:eastAsia="zh-CN"/>
        </w:rPr>
        <w:t>应针对易发生公共安全事件的区域和养护对象，加大巡查力度，及时检修并设置醒目标记，保障市民的出行安全，避免不必要的赔偿支出</w:t>
      </w:r>
      <w:r>
        <w:rPr>
          <w:rFonts w:hint="eastAsia" w:ascii="仿宋" w:hAnsi="仿宋" w:cs="仿宋"/>
          <w:bCs/>
          <w:color w:val="auto"/>
          <w:sz w:val="32"/>
          <w:szCs w:val="32"/>
          <w:highlight w:val="none"/>
          <w:lang w:eastAsia="zh-CN"/>
        </w:rPr>
        <w:t>。</w:t>
      </w:r>
    </w:p>
    <w:p>
      <w:pPr>
        <w:pageBreakBefore w:val="0"/>
        <w:widowControl w:val="0"/>
        <w:shd w:val="clear" w:color="auto" w:fill="FFFFFF"/>
        <w:kinsoku/>
        <w:wordWrap/>
        <w:overflowPunct/>
        <w:topLinePunct w:val="0"/>
        <w:autoSpaceDE/>
        <w:autoSpaceDN/>
        <w:bidi w:val="0"/>
        <w:adjustRightInd/>
        <w:snapToGrid/>
        <w:spacing w:line="560" w:lineRule="exact"/>
        <w:ind w:firstLine="640" w:firstLineChars="200"/>
        <w:contextualSpacing/>
        <w:textAlignment w:val="auto"/>
        <w:rPr>
          <w:rFonts w:hint="eastAsia" w:ascii="黑体" w:hAnsi="黑体" w:cs="黑体"/>
          <w:color w:val="auto"/>
          <w:sz w:val="32"/>
          <w:szCs w:val="32"/>
          <w:highlight w:val="none"/>
        </w:rPr>
      </w:pPr>
      <w:bookmarkStart w:id="18" w:name="_Toc30259"/>
      <w:bookmarkStart w:id="19" w:name="_Toc22991"/>
      <w:bookmarkStart w:id="20" w:name="_Toc45724245"/>
      <w:bookmarkStart w:id="21" w:name="_Toc17503"/>
      <w:r>
        <w:rPr>
          <w:rFonts w:hint="eastAsia" w:ascii="黑体" w:hAnsi="黑体" w:cs="黑体"/>
          <w:color w:val="auto"/>
          <w:sz w:val="32"/>
          <w:szCs w:val="32"/>
          <w:highlight w:val="none"/>
        </w:rPr>
        <w:br w:type="page"/>
      </w:r>
    </w:p>
    <w:p>
      <w:pPr>
        <w:pStyle w:val="4"/>
        <w:pageBreakBefore w:val="0"/>
        <w:kinsoku/>
        <w:wordWrap/>
        <w:overflowPunct/>
        <w:topLinePunct w:val="0"/>
        <w:autoSpaceDE/>
        <w:autoSpaceDN/>
        <w:bidi w:val="0"/>
        <w:spacing w:before="0" w:after="0" w:line="560" w:lineRule="exact"/>
        <w:ind w:firstLine="643" w:firstLineChars="200"/>
        <w:jc w:val="left"/>
        <w:rPr>
          <w:rFonts w:ascii="仿宋" w:hAnsi="仿宋" w:eastAsia="仿宋" w:cs="仿宋"/>
          <w:color w:val="auto"/>
          <w:sz w:val="32"/>
          <w:szCs w:val="32"/>
          <w:highlight w:val="none"/>
        </w:rPr>
      </w:pPr>
      <w:r>
        <w:rPr>
          <w:rFonts w:hint="eastAsia" w:ascii="黑体" w:hAnsi="黑体" w:cs="黑体"/>
          <w:color w:val="auto"/>
          <w:sz w:val="32"/>
          <w:szCs w:val="32"/>
          <w:highlight w:val="none"/>
        </w:rPr>
        <w:t>二、佐证材料</w:t>
      </w:r>
      <w:bookmarkEnd w:id="18"/>
      <w:bookmarkEnd w:id="19"/>
      <w:bookmarkEnd w:id="20"/>
      <w:bookmarkEnd w:id="21"/>
    </w:p>
    <w:p>
      <w:pPr>
        <w:pStyle w:val="5"/>
        <w:pageBreakBefore w:val="0"/>
        <w:kinsoku/>
        <w:wordWrap/>
        <w:overflowPunct/>
        <w:topLinePunct w:val="0"/>
        <w:autoSpaceDE/>
        <w:autoSpaceDN/>
        <w:bidi w:val="0"/>
        <w:spacing w:before="0" w:after="0" w:line="560" w:lineRule="exact"/>
        <w:ind w:left="0" w:leftChars="0" w:firstLine="640" w:firstLineChars="200"/>
        <w:textAlignment w:val="auto"/>
        <w:rPr>
          <w:rFonts w:hint="eastAsia" w:ascii="楷体" w:hAnsi="楷体" w:eastAsia="楷体" w:cs="楷体"/>
          <w:color w:val="auto"/>
          <w:sz w:val="32"/>
          <w:szCs w:val="32"/>
          <w:highlight w:val="none"/>
        </w:rPr>
      </w:pPr>
      <w:bookmarkStart w:id="22" w:name="_Toc32741"/>
      <w:bookmarkStart w:id="23" w:name="_Toc7796"/>
      <w:bookmarkStart w:id="24" w:name="_Toc30286"/>
      <w:r>
        <w:rPr>
          <w:rFonts w:hint="eastAsia" w:ascii="楷体" w:hAnsi="楷体" w:eastAsia="楷体" w:cs="楷体"/>
          <w:color w:val="auto"/>
          <w:sz w:val="32"/>
          <w:szCs w:val="32"/>
          <w:highlight w:val="none"/>
        </w:rPr>
        <w:t>（一）基本情况</w:t>
      </w:r>
      <w:bookmarkEnd w:id="22"/>
      <w:bookmarkEnd w:id="23"/>
      <w:bookmarkEnd w:id="24"/>
    </w:p>
    <w:p>
      <w:pPr>
        <w:pStyle w:val="2"/>
        <w:pageBreakBefore w:val="0"/>
        <w:kinsoku/>
        <w:wordWrap/>
        <w:overflowPunct/>
        <w:topLinePunct w:val="0"/>
        <w:autoSpaceDE/>
        <w:autoSpaceDN/>
        <w:bidi w:val="0"/>
        <w:spacing w:before="0" w:after="0" w:line="560" w:lineRule="exact"/>
        <w:ind w:left="0" w:leftChars="0" w:firstLine="643" w:firstLineChars="200"/>
        <w:textAlignment w:val="auto"/>
        <w:rPr>
          <w:rFonts w:ascii="仿宋" w:hAnsi="仿宋" w:cs="仿宋"/>
          <w:b/>
          <w:bCs/>
          <w:color w:val="auto"/>
          <w:sz w:val="32"/>
          <w:szCs w:val="32"/>
          <w:highlight w:val="none"/>
        </w:rPr>
      </w:pPr>
      <w:bookmarkStart w:id="25" w:name="_Toc29417"/>
      <w:bookmarkStart w:id="26" w:name="_Toc14142"/>
      <w:r>
        <w:rPr>
          <w:rFonts w:hint="eastAsia" w:ascii="仿宋" w:hAnsi="仿宋" w:cs="仿宋"/>
          <w:b/>
          <w:bCs/>
          <w:color w:val="auto"/>
          <w:sz w:val="32"/>
          <w:szCs w:val="32"/>
          <w:highlight w:val="none"/>
        </w:rPr>
        <w:t>1、项目立项目的</w:t>
      </w:r>
      <w:bookmarkEnd w:id="25"/>
      <w:bookmarkEnd w:id="26"/>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auto"/>
          <w:kern w:val="0"/>
          <w:sz w:val="32"/>
          <w:szCs w:val="32"/>
          <w:highlight w:val="none"/>
          <w:lang w:val="en-US" w:eastAsia="zh-CN" w:bidi="ar"/>
        </w:rPr>
      </w:pPr>
      <w:bookmarkStart w:id="27" w:name="_Toc27270"/>
      <w:bookmarkStart w:id="28" w:name="_Toc32530"/>
      <w:r>
        <w:rPr>
          <w:rFonts w:hint="eastAsia" w:ascii="仿宋" w:hAnsi="仿宋" w:cs="仿宋"/>
          <w:color w:val="auto"/>
          <w:sz w:val="32"/>
          <w:szCs w:val="32"/>
          <w:highlight w:val="none"/>
          <w:lang w:eastAsia="zh-CN"/>
        </w:rPr>
        <w:t>《</w:t>
      </w:r>
      <w:r>
        <w:rPr>
          <w:rFonts w:hint="eastAsia" w:ascii="仿宋" w:hAnsi="仿宋" w:eastAsia="仿宋" w:cs="仿宋"/>
          <w:color w:val="auto"/>
          <w:kern w:val="0"/>
          <w:sz w:val="32"/>
          <w:szCs w:val="32"/>
          <w:highlight w:val="none"/>
          <w:lang w:val="en-US" w:eastAsia="zh-CN" w:bidi="ar"/>
        </w:rPr>
        <w:t>黄石市国民经济和社会发展第十四个五年</w:t>
      </w:r>
      <w:r>
        <w:rPr>
          <w:rFonts w:hint="default" w:ascii="仿宋" w:hAnsi="仿宋" w:eastAsia="仿宋" w:cs="仿宋"/>
          <w:color w:val="auto"/>
          <w:kern w:val="0"/>
          <w:sz w:val="32"/>
          <w:szCs w:val="32"/>
          <w:highlight w:val="none"/>
          <w:lang w:val="en-US" w:eastAsia="zh-CN" w:bidi="ar"/>
        </w:rPr>
        <w:t>规划和二</w:t>
      </w:r>
      <w:r>
        <w:rPr>
          <w:rFonts w:hint="eastAsia" w:ascii="仿宋" w:hAnsi="仿宋" w:eastAsia="仿宋" w:cs="仿宋"/>
          <w:color w:val="auto"/>
          <w:kern w:val="0"/>
          <w:sz w:val="32"/>
          <w:szCs w:val="32"/>
          <w:highlight w:val="none"/>
          <w:lang w:val="en-US" w:eastAsia="zh-CN" w:bidi="ar"/>
        </w:rPr>
        <w:t>〇</w:t>
      </w:r>
      <w:r>
        <w:rPr>
          <w:rFonts w:hint="default" w:ascii="仿宋" w:hAnsi="仿宋" w:eastAsia="仿宋" w:cs="仿宋"/>
          <w:color w:val="auto"/>
          <w:kern w:val="0"/>
          <w:sz w:val="32"/>
          <w:szCs w:val="32"/>
          <w:highlight w:val="none"/>
          <w:lang w:val="en-US" w:eastAsia="zh-CN" w:bidi="ar"/>
        </w:rPr>
        <w:t>三五年远景目标纲要</w:t>
      </w:r>
      <w:r>
        <w:rPr>
          <w:rFonts w:hint="eastAsia" w:ascii="仿宋" w:hAnsi="仿宋" w:cs="仿宋"/>
          <w:color w:val="auto"/>
          <w:sz w:val="32"/>
          <w:szCs w:val="32"/>
          <w:highlight w:val="none"/>
          <w:lang w:eastAsia="zh-CN"/>
        </w:rPr>
        <w:t>》</w:t>
      </w:r>
      <w:r>
        <w:rPr>
          <w:rFonts w:hint="eastAsia" w:ascii="仿宋" w:hAnsi="仿宋" w:cs="仿宋"/>
          <w:color w:val="auto"/>
          <w:sz w:val="32"/>
          <w:szCs w:val="32"/>
          <w:highlight w:val="none"/>
          <w:lang w:val="en-US" w:eastAsia="zh-CN"/>
        </w:rPr>
        <w:t>提出：</w:t>
      </w:r>
      <w:r>
        <w:rPr>
          <w:rFonts w:ascii="仿宋" w:hAnsi="仿宋" w:eastAsia="仿宋" w:cs="仿宋"/>
          <w:color w:val="auto"/>
          <w:kern w:val="0"/>
          <w:sz w:val="32"/>
          <w:szCs w:val="32"/>
          <w:highlight w:val="none"/>
          <w:lang w:val="en-US" w:eastAsia="zh-CN" w:bidi="ar"/>
        </w:rPr>
        <w:t>深化城管执法体制改革，加强城市管理执法队伍建设，推进</w:t>
      </w:r>
      <w:r>
        <w:rPr>
          <w:rFonts w:hint="eastAsia" w:ascii="仿宋" w:hAnsi="仿宋" w:eastAsia="仿宋" w:cs="仿宋"/>
          <w:color w:val="auto"/>
          <w:kern w:val="0"/>
          <w:sz w:val="32"/>
          <w:szCs w:val="32"/>
          <w:highlight w:val="none"/>
          <w:lang w:val="en-US" w:eastAsia="zh-CN" w:bidi="ar"/>
        </w:rPr>
        <w:t>严格规范公正文明执法。深入推进“美好环境与幸福生活共同缔造”活动，推动城市治理资源下沉社区。推进多元化投融资体制改革，构建“政府引导、金融支持、社会参与、市场运作”的城市管理事业发展体制机制。积极探索城市管理市场化、社会化服务新模式，鼓励、引导多主体全方位参与城市治理，形成多元共治、良性互动的城市治理格局。</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color w:val="auto"/>
          <w:sz w:val="32"/>
          <w:szCs w:val="32"/>
          <w:highlight w:val="none"/>
        </w:rPr>
      </w:pPr>
      <w:r>
        <w:rPr>
          <w:rFonts w:hint="eastAsia" w:ascii="仿宋" w:hAnsi="仿宋" w:eastAsia="仿宋" w:cs="仿宋"/>
          <w:color w:val="auto"/>
          <w:kern w:val="0"/>
          <w:sz w:val="32"/>
          <w:szCs w:val="32"/>
          <w:highlight w:val="none"/>
          <w:lang w:val="en-US" w:eastAsia="zh-CN" w:bidi="ar"/>
        </w:rPr>
        <w:t>市人民政府办公室印发</w:t>
      </w:r>
      <w:r>
        <w:rPr>
          <w:rFonts w:hint="eastAsia" w:ascii="仿宋" w:hAnsi="仿宋" w:cs="仿宋"/>
          <w:color w:val="auto"/>
          <w:kern w:val="0"/>
          <w:sz w:val="32"/>
          <w:szCs w:val="32"/>
          <w:highlight w:val="none"/>
          <w:lang w:val="en-US" w:eastAsia="zh-CN" w:bidi="ar"/>
        </w:rPr>
        <w:t>了</w:t>
      </w:r>
      <w:r>
        <w:rPr>
          <w:rFonts w:hint="eastAsia" w:ascii="仿宋" w:hAnsi="仿宋" w:eastAsia="仿宋" w:cs="仿宋"/>
          <w:color w:val="auto"/>
          <w:kern w:val="0"/>
          <w:sz w:val="32"/>
          <w:szCs w:val="32"/>
          <w:highlight w:val="none"/>
          <w:lang w:val="en-US" w:eastAsia="zh-CN" w:bidi="ar"/>
        </w:rPr>
        <w:t>《黄石市城区环卫园林作业市场化改革实施方案》（黄政办发〔2021〕17号）</w:t>
      </w:r>
      <w:r>
        <w:rPr>
          <w:rFonts w:hint="eastAsia" w:ascii="仿宋" w:hAnsi="仿宋" w:cs="仿宋"/>
          <w:color w:val="auto"/>
          <w:kern w:val="0"/>
          <w:sz w:val="32"/>
          <w:szCs w:val="32"/>
          <w:highlight w:val="none"/>
          <w:lang w:val="en-US" w:eastAsia="zh-CN" w:bidi="ar"/>
        </w:rPr>
        <w:t>。</w:t>
      </w:r>
    </w:p>
    <w:p>
      <w:pPr>
        <w:keepNext w:val="0"/>
        <w:keepLines w:val="0"/>
        <w:pageBreakBefore w:val="0"/>
        <w:widowControl/>
        <w:suppressLineNumbers w:val="0"/>
        <w:kinsoku/>
        <w:wordWrap/>
        <w:overflowPunct/>
        <w:topLinePunct w:val="0"/>
        <w:autoSpaceDE/>
        <w:autoSpaceDN/>
        <w:bidi w:val="0"/>
        <w:spacing w:line="560" w:lineRule="exact"/>
        <w:ind w:left="0" w:leftChars="0" w:firstLine="643" w:firstLineChars="200"/>
        <w:jc w:val="both"/>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2、绩效目标</w:t>
      </w:r>
      <w:bookmarkEnd w:id="27"/>
      <w:bookmarkEnd w:id="28"/>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2"/>
        <w:rPr>
          <w:rFonts w:ascii="仿宋" w:hAnsi="仿宋" w:cs="仿宋"/>
          <w:color w:val="auto"/>
          <w:sz w:val="32"/>
          <w:szCs w:val="32"/>
          <w:highlight w:val="none"/>
        </w:rPr>
      </w:pPr>
      <w:r>
        <w:rPr>
          <w:rFonts w:hint="eastAsia" w:ascii="仿宋" w:hAnsi="仿宋" w:cs="仿宋"/>
          <w:color w:val="auto"/>
          <w:kern w:val="0"/>
          <w:sz w:val="32"/>
          <w:szCs w:val="32"/>
          <w:highlight w:val="none"/>
          <w:lang w:val="en-US" w:eastAsia="zh-CN"/>
        </w:rPr>
        <w:t>黄石市</w:t>
      </w:r>
      <w:r>
        <w:rPr>
          <w:rFonts w:hint="eastAsia" w:ascii="仿宋" w:hAnsi="仿宋" w:cs="仿宋"/>
          <w:color w:val="auto"/>
          <w:kern w:val="0"/>
          <w:sz w:val="32"/>
          <w:szCs w:val="32"/>
          <w:highlight w:val="none"/>
          <w:lang w:eastAsia="zh-CN"/>
        </w:rPr>
        <w:t>下陆区2022年市政维护道路及管网项目</w:t>
      </w:r>
      <w:r>
        <w:rPr>
          <w:rFonts w:hint="eastAsia" w:ascii="仿宋" w:hAnsi="仿宋" w:cs="仿宋"/>
          <w:color w:val="auto"/>
          <w:sz w:val="32"/>
          <w:szCs w:val="32"/>
          <w:highlight w:val="none"/>
        </w:rPr>
        <w:t>具体绩效目标为：</w:t>
      </w:r>
      <w:r>
        <w:rPr>
          <w:rFonts w:hint="eastAsia" w:ascii="仿宋" w:hAnsi="仿宋" w:cs="仿宋"/>
          <w:color w:val="auto"/>
          <w:sz w:val="32"/>
          <w:szCs w:val="32"/>
          <w:highlight w:val="none"/>
          <w:lang w:val="en-US" w:eastAsia="zh-CN"/>
        </w:rPr>
        <w:t>环卫园林经费保障人数23人;</w:t>
      </w:r>
      <w:r>
        <w:rPr>
          <w:rFonts w:hint="eastAsia" w:ascii="仿宋" w:hAnsi="仿宋" w:cs="仿宋"/>
          <w:color w:val="auto"/>
          <w:sz w:val="32"/>
          <w:szCs w:val="32"/>
          <w:highlight w:val="none"/>
        </w:rPr>
        <w:t>城市运行管理服务平台任务处置</w:t>
      </w:r>
      <w:r>
        <w:rPr>
          <w:rFonts w:hint="eastAsia" w:ascii="仿宋" w:hAnsi="仿宋" w:cs="仿宋"/>
          <w:color w:val="auto"/>
          <w:sz w:val="32"/>
          <w:szCs w:val="32"/>
          <w:highlight w:val="none"/>
          <w:lang w:eastAsia="zh-CN"/>
        </w:rPr>
        <w:t>率</w:t>
      </w:r>
      <w:r>
        <w:rPr>
          <w:rFonts w:hint="eastAsia" w:ascii="仿宋" w:hAnsi="仿宋" w:cs="仿宋"/>
          <w:color w:val="auto"/>
          <w:sz w:val="32"/>
          <w:szCs w:val="32"/>
          <w:highlight w:val="none"/>
          <w:lang w:val="en-US" w:eastAsia="zh-CN"/>
        </w:rPr>
        <w:t>100%;城市运行管理服务平台任务处置达标率100%;城市运行管理服务平台任务处置及时率100%;</w:t>
      </w:r>
      <w:r>
        <w:rPr>
          <w:rFonts w:hint="eastAsia" w:ascii="仿宋" w:hAnsi="仿宋" w:cs="仿宋"/>
          <w:color w:val="auto"/>
          <w:kern w:val="0"/>
          <w:sz w:val="31"/>
          <w:szCs w:val="31"/>
          <w:highlight w:val="none"/>
          <w:lang w:val="en-US" w:eastAsia="zh-CN" w:bidi="ar"/>
        </w:rPr>
        <w:t>社会效益良好；</w:t>
      </w:r>
      <w:r>
        <w:rPr>
          <w:rFonts w:hint="eastAsia" w:ascii="仿宋" w:hAnsi="仿宋" w:cs="仿宋"/>
          <w:color w:val="auto"/>
          <w:sz w:val="32"/>
          <w:szCs w:val="32"/>
          <w:highlight w:val="none"/>
          <w:lang w:val="en-US" w:eastAsia="zh-CN"/>
        </w:rPr>
        <w:t>服务对象满意度90%以上。</w:t>
      </w:r>
    </w:p>
    <w:p>
      <w:pPr>
        <w:pStyle w:val="2"/>
        <w:pageBreakBefore w:val="0"/>
        <w:kinsoku/>
        <w:wordWrap/>
        <w:overflowPunct/>
        <w:topLinePunct w:val="0"/>
        <w:autoSpaceDE/>
        <w:autoSpaceDN/>
        <w:bidi w:val="0"/>
        <w:spacing w:before="0" w:after="0" w:line="560" w:lineRule="exact"/>
        <w:ind w:left="0" w:leftChars="0" w:firstLine="643" w:firstLineChars="200"/>
        <w:textAlignment w:val="auto"/>
        <w:rPr>
          <w:rFonts w:ascii="仿宋" w:hAnsi="仿宋" w:cs="仿宋"/>
          <w:b/>
          <w:bCs/>
          <w:color w:val="auto"/>
          <w:sz w:val="32"/>
          <w:szCs w:val="32"/>
          <w:highlight w:val="none"/>
        </w:rPr>
      </w:pPr>
      <w:bookmarkStart w:id="29" w:name="_Toc20180"/>
      <w:bookmarkStart w:id="30" w:name="_Toc24041"/>
      <w:r>
        <w:rPr>
          <w:rFonts w:hint="eastAsia" w:ascii="仿宋" w:hAnsi="仿宋" w:cs="仿宋"/>
          <w:b/>
          <w:bCs/>
          <w:color w:val="auto"/>
          <w:sz w:val="32"/>
          <w:szCs w:val="32"/>
          <w:highlight w:val="none"/>
        </w:rPr>
        <w:t>3、项目资金情况</w:t>
      </w:r>
      <w:bookmarkEnd w:id="29"/>
      <w:bookmarkEnd w:id="30"/>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outlineLvl w:val="0"/>
        <w:rPr>
          <w:rFonts w:hint="eastAsia" w:ascii="仿宋" w:hAnsi="仿宋" w:eastAsia="仿宋" w:cs="仿宋"/>
          <w:bCs/>
          <w:color w:val="auto"/>
          <w:sz w:val="28"/>
          <w:szCs w:val="28"/>
          <w:highlight w:val="none"/>
          <w:lang w:val="en-US" w:eastAsia="zh-CN"/>
        </w:rPr>
      </w:pPr>
      <w:r>
        <w:rPr>
          <w:rFonts w:hint="eastAsia" w:ascii="仿宋" w:hAnsi="仿宋" w:cs="仿宋"/>
          <w:color w:val="auto"/>
          <w:kern w:val="0"/>
          <w:sz w:val="28"/>
          <w:szCs w:val="28"/>
          <w:highlight w:val="none"/>
          <w:lang w:eastAsia="zh-CN"/>
        </w:rPr>
        <w:t>下陆区2022年市政维护道路及管网项目预算安排600万元，实际到位资金600万元，实际资金到位率100%</w:t>
      </w:r>
      <w:r>
        <w:rPr>
          <w:rFonts w:hint="eastAsia" w:ascii="仿宋" w:hAnsi="仿宋" w:cs="仿宋"/>
          <w:color w:val="auto"/>
          <w:sz w:val="28"/>
          <w:szCs w:val="28"/>
          <w:highlight w:val="none"/>
          <w:lang w:eastAsia="zh-CN"/>
        </w:rPr>
        <w:t>。实际支出440.40万元，预算执行率73.40%。</w:t>
      </w:r>
    </w:p>
    <w:p>
      <w:pPr>
        <w:pStyle w:val="5"/>
        <w:pageBreakBefore w:val="0"/>
        <w:kinsoku/>
        <w:wordWrap/>
        <w:overflowPunct/>
        <w:topLinePunct w:val="0"/>
        <w:autoSpaceDE/>
        <w:autoSpaceDN/>
        <w:bidi w:val="0"/>
        <w:spacing w:before="0" w:after="0" w:line="560" w:lineRule="exact"/>
        <w:ind w:left="0" w:leftChars="0" w:firstLine="640" w:firstLineChars="200"/>
        <w:textAlignment w:val="auto"/>
        <w:rPr>
          <w:rFonts w:ascii="仿宋" w:hAnsi="仿宋" w:eastAsia="仿宋" w:cs="仿宋"/>
          <w:color w:val="auto"/>
          <w:sz w:val="32"/>
          <w:szCs w:val="32"/>
          <w:highlight w:val="none"/>
        </w:rPr>
      </w:pPr>
      <w:bookmarkStart w:id="31" w:name="_Toc24223"/>
      <w:bookmarkStart w:id="32" w:name="_Toc21254"/>
      <w:bookmarkStart w:id="33" w:name="_Toc17962"/>
      <w:r>
        <w:rPr>
          <w:rFonts w:hint="eastAsia" w:ascii="楷体" w:hAnsi="楷体" w:eastAsia="楷体" w:cs="楷体"/>
          <w:color w:val="auto"/>
          <w:sz w:val="32"/>
          <w:szCs w:val="32"/>
          <w:highlight w:val="none"/>
        </w:rPr>
        <w:t>（二）绩效评价工作开展情况</w:t>
      </w:r>
      <w:bookmarkEnd w:id="31"/>
      <w:bookmarkEnd w:id="32"/>
      <w:bookmarkEnd w:id="33"/>
    </w:p>
    <w:p>
      <w:pPr>
        <w:pStyle w:val="2"/>
        <w:pageBreakBefore w:val="0"/>
        <w:kinsoku/>
        <w:wordWrap/>
        <w:overflowPunct/>
        <w:topLinePunct w:val="0"/>
        <w:autoSpaceDE/>
        <w:autoSpaceDN/>
        <w:bidi w:val="0"/>
        <w:spacing w:before="0" w:after="0" w:line="560" w:lineRule="exact"/>
        <w:ind w:left="0" w:leftChars="0" w:firstLine="643" w:firstLineChars="200"/>
        <w:textAlignment w:val="auto"/>
        <w:rPr>
          <w:rFonts w:ascii="仿宋" w:hAnsi="仿宋" w:cs="仿宋"/>
          <w:b/>
          <w:bCs/>
          <w:color w:val="auto"/>
          <w:sz w:val="32"/>
          <w:szCs w:val="32"/>
          <w:highlight w:val="none"/>
        </w:rPr>
      </w:pPr>
      <w:bookmarkStart w:id="34" w:name="_Toc45724251"/>
      <w:bookmarkStart w:id="35" w:name="_Toc1089"/>
      <w:bookmarkStart w:id="36" w:name="_Toc8795"/>
      <w:r>
        <w:rPr>
          <w:rFonts w:hint="eastAsia" w:ascii="仿宋" w:hAnsi="仿宋" w:cs="仿宋"/>
          <w:b/>
          <w:bCs/>
          <w:color w:val="auto"/>
          <w:sz w:val="32"/>
          <w:szCs w:val="32"/>
          <w:highlight w:val="none"/>
        </w:rPr>
        <w:t>1、绩效评价目的、对象和范围</w:t>
      </w:r>
      <w:bookmarkEnd w:id="34"/>
      <w:bookmarkEnd w:id="35"/>
      <w:bookmarkEnd w:id="36"/>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本次绩效评价目的是通过考评</w:t>
      </w:r>
      <w:r>
        <w:rPr>
          <w:rFonts w:hint="eastAsia" w:ascii="仿宋" w:hAnsi="仿宋" w:cs="仿宋"/>
          <w:color w:val="auto"/>
          <w:kern w:val="0"/>
          <w:sz w:val="32"/>
          <w:szCs w:val="32"/>
          <w:highlight w:val="none"/>
          <w:lang w:eastAsia="zh-CN"/>
        </w:rPr>
        <w:t>市政维护道路及管网项目</w:t>
      </w:r>
      <w:r>
        <w:rPr>
          <w:rFonts w:hint="eastAsia" w:ascii="仿宋" w:hAnsi="仿宋" w:cs="仿宋"/>
          <w:bCs/>
          <w:color w:val="auto"/>
          <w:sz w:val="32"/>
          <w:szCs w:val="32"/>
          <w:highlight w:val="none"/>
        </w:rPr>
        <w:t>财政支出</w:t>
      </w:r>
      <w:r>
        <w:rPr>
          <w:rFonts w:hint="eastAsia" w:ascii="仿宋" w:hAnsi="仿宋" w:cs="仿宋"/>
          <w:color w:val="auto"/>
          <w:sz w:val="32"/>
          <w:szCs w:val="32"/>
          <w:highlight w:val="none"/>
        </w:rPr>
        <w:t>绩效，</w:t>
      </w:r>
      <w:r>
        <w:rPr>
          <w:rFonts w:hint="eastAsia" w:ascii="仿宋" w:hAnsi="仿宋"/>
          <w:color w:val="auto"/>
          <w:kern w:val="0"/>
          <w:sz w:val="32"/>
          <w:szCs w:val="32"/>
          <w:highlight w:val="none"/>
        </w:rPr>
        <w:t>提升财政资金管理水平，提高财政资金使用效益和效率。运用绩效评价成果，为预算资金分配提供参考依据，建立科学规范的财政支出绩效评价管理体系。</w:t>
      </w:r>
    </w:p>
    <w:p>
      <w:pPr>
        <w:pageBreakBefore w:val="0"/>
        <w:kinsoku/>
        <w:wordWrap/>
        <w:overflowPunct/>
        <w:topLinePunct w:val="0"/>
        <w:autoSpaceDE/>
        <w:autoSpaceDN/>
        <w:bidi w:val="0"/>
        <w:spacing w:line="560" w:lineRule="exact"/>
        <w:ind w:left="0" w:leftChars="0" w:firstLine="640" w:firstLineChars="200"/>
        <w:textAlignment w:val="auto"/>
        <w:outlineLvl w:val="0"/>
        <w:rPr>
          <w:rFonts w:ascii="仿宋" w:hAnsi="仿宋" w:cs="仿宋"/>
          <w:color w:val="auto"/>
          <w:sz w:val="32"/>
          <w:szCs w:val="32"/>
          <w:highlight w:val="none"/>
        </w:rPr>
      </w:pPr>
      <w:r>
        <w:rPr>
          <w:rFonts w:hint="eastAsia" w:ascii="仿宋" w:hAnsi="仿宋" w:cs="仿宋"/>
          <w:color w:val="auto"/>
          <w:sz w:val="32"/>
          <w:szCs w:val="32"/>
          <w:highlight w:val="none"/>
        </w:rPr>
        <w:t>本次考评的对象是</w:t>
      </w:r>
      <w:r>
        <w:rPr>
          <w:rFonts w:hint="eastAsia" w:ascii="仿宋" w:hAnsi="仿宋" w:cs="仿宋"/>
          <w:color w:val="auto"/>
          <w:sz w:val="32"/>
          <w:szCs w:val="32"/>
          <w:highlight w:val="none"/>
          <w:lang w:eastAsia="zh-CN"/>
        </w:rPr>
        <w:t>下陆区</w:t>
      </w:r>
      <w:r>
        <w:rPr>
          <w:rFonts w:hint="eastAsia" w:ascii="仿宋" w:hAnsi="仿宋" w:cs="仿宋"/>
          <w:color w:val="auto"/>
          <w:sz w:val="32"/>
          <w:szCs w:val="32"/>
          <w:highlight w:val="none"/>
          <w:lang w:val="en-US" w:eastAsia="zh-CN"/>
        </w:rPr>
        <w:t>2022年</w:t>
      </w:r>
      <w:r>
        <w:rPr>
          <w:rFonts w:hint="eastAsia" w:ascii="仿宋" w:hAnsi="仿宋" w:cs="仿宋"/>
          <w:color w:val="auto"/>
          <w:kern w:val="0"/>
          <w:sz w:val="32"/>
          <w:szCs w:val="32"/>
          <w:highlight w:val="none"/>
          <w:lang w:eastAsia="zh-CN"/>
        </w:rPr>
        <w:t>市政维护道路及管网项目</w:t>
      </w:r>
      <w:r>
        <w:rPr>
          <w:rFonts w:hint="eastAsia" w:ascii="仿宋" w:hAnsi="仿宋" w:cs="仿宋"/>
          <w:color w:val="auto"/>
          <w:sz w:val="32"/>
          <w:szCs w:val="32"/>
          <w:highlight w:val="none"/>
          <w:lang w:eastAsia="zh-CN"/>
        </w:rPr>
        <w:t>资金</w:t>
      </w:r>
      <w:r>
        <w:rPr>
          <w:rFonts w:hint="eastAsia" w:ascii="仿宋" w:hAnsi="仿宋" w:cs="仿宋"/>
          <w:color w:val="auto"/>
          <w:sz w:val="32"/>
          <w:szCs w:val="32"/>
          <w:highlight w:val="none"/>
          <w:lang w:val="en-US" w:eastAsia="zh-CN"/>
        </w:rPr>
        <w:t>600</w:t>
      </w:r>
      <w:r>
        <w:rPr>
          <w:rFonts w:hint="eastAsia" w:ascii="仿宋" w:hAnsi="仿宋" w:cs="仿宋"/>
          <w:color w:val="auto"/>
          <w:sz w:val="32"/>
          <w:szCs w:val="32"/>
          <w:highlight w:val="none"/>
          <w:lang w:eastAsia="zh-CN"/>
        </w:rPr>
        <w:t>万元</w:t>
      </w:r>
      <w:r>
        <w:rPr>
          <w:rFonts w:hint="eastAsia" w:ascii="仿宋" w:hAnsi="仿宋" w:cs="仿宋"/>
          <w:color w:val="auto"/>
          <w:sz w:val="32"/>
          <w:szCs w:val="32"/>
          <w:highlight w:val="none"/>
        </w:rPr>
        <w:t>。</w:t>
      </w:r>
    </w:p>
    <w:p>
      <w:pPr>
        <w:pStyle w:val="2"/>
        <w:pageBreakBefore w:val="0"/>
        <w:kinsoku/>
        <w:wordWrap/>
        <w:overflowPunct/>
        <w:topLinePunct w:val="0"/>
        <w:autoSpaceDE/>
        <w:autoSpaceDN/>
        <w:bidi w:val="0"/>
        <w:spacing w:before="0" w:after="0"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2、</w:t>
      </w:r>
      <w:r>
        <w:rPr>
          <w:rFonts w:hint="eastAsia" w:ascii="楷体" w:hAnsi="楷体" w:eastAsia="楷体"/>
          <w:color w:val="auto"/>
          <w:kern w:val="0"/>
          <w:sz w:val="32"/>
          <w:szCs w:val="32"/>
          <w:highlight w:val="none"/>
        </w:rPr>
        <w:t>绩效评价原则、指标体系、评价方法和标准</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（1）绩效评价原则</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①科学规范原则。指绩效评价应严格执行规定的程序，按照科学可行的要求，采用定量与定性分析相结合的方式，运用科学合理的方法，对预算绩效进行客观、公正地反映。</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②绩效相关原则。指绩效评价应围绕绩效目标、针对具体支出及其产出进行，评价结果应清晰反映支出、产出和绩效之间的对应关系。</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b/>
          <w:color w:val="auto"/>
          <w:kern w:val="0"/>
          <w:sz w:val="32"/>
          <w:szCs w:val="32"/>
          <w:highlight w:val="none"/>
        </w:rPr>
      </w:pPr>
      <w:r>
        <w:rPr>
          <w:rFonts w:hint="eastAsia" w:ascii="仿宋" w:hAnsi="仿宋" w:cs="仿宋"/>
          <w:color w:val="auto"/>
          <w:sz w:val="32"/>
          <w:szCs w:val="32"/>
          <w:highlight w:val="none"/>
        </w:rPr>
        <w:t>③公正公开原则。指绩效评价应符合真实、客观、公正的要求，评价结果应按照规定依法依规公开，并自觉接受社会监督。</w:t>
      </w:r>
    </w:p>
    <w:p>
      <w:pPr>
        <w:pStyle w:val="14"/>
        <w:pageBreakBefore w:val="0"/>
        <w:kinsoku/>
        <w:wordWrap/>
        <w:overflowPunct/>
        <w:topLinePunct w:val="0"/>
        <w:autoSpaceDE/>
        <w:autoSpaceDN/>
        <w:bidi w:val="0"/>
        <w:spacing w:line="560" w:lineRule="exact"/>
        <w:ind w:left="0" w:leftChars="0" w:firstLine="643" w:firstLineChars="200"/>
        <w:textAlignment w:val="auto"/>
        <w:rPr>
          <w:rFonts w:cstheme="minorBidi"/>
          <w:color w:val="auto"/>
          <w:kern w:val="0"/>
          <w:sz w:val="32"/>
          <w:highlight w:val="none"/>
          <w:lang w:val="en-US" w:bidi="ar-SA"/>
        </w:rPr>
      </w:pPr>
      <w:r>
        <w:rPr>
          <w:rFonts w:hint="eastAsia"/>
          <w:b/>
          <w:bCs/>
          <w:color w:val="auto"/>
          <w:sz w:val="32"/>
          <w:highlight w:val="none"/>
          <w:lang w:val="en-US" w:bidi="ar-SA"/>
        </w:rPr>
        <w:t>（</w:t>
      </w:r>
      <w:r>
        <w:rPr>
          <w:rFonts w:hint="eastAsia" w:cstheme="minorBidi"/>
          <w:color w:val="auto"/>
          <w:kern w:val="0"/>
          <w:sz w:val="32"/>
          <w:highlight w:val="none"/>
          <w:lang w:val="en-US" w:bidi="ar-SA"/>
        </w:rPr>
        <w:t>2）</w:t>
      </w:r>
      <w:r>
        <w:rPr>
          <w:rFonts w:hint="eastAsia"/>
          <w:color w:val="auto"/>
          <w:kern w:val="0"/>
          <w:sz w:val="32"/>
          <w:highlight w:val="none"/>
        </w:rPr>
        <w:t>绩效</w:t>
      </w:r>
      <w:r>
        <w:rPr>
          <w:rFonts w:hint="eastAsia" w:cstheme="minorBidi"/>
          <w:color w:val="auto"/>
          <w:kern w:val="0"/>
          <w:sz w:val="32"/>
          <w:highlight w:val="none"/>
          <w:lang w:val="en-US" w:bidi="ar-SA"/>
        </w:rPr>
        <w:t>评价体系</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bCs/>
          <w:color w:val="auto"/>
          <w:sz w:val="32"/>
          <w:szCs w:val="32"/>
          <w:highlight w:val="none"/>
        </w:rPr>
      </w:pPr>
      <w:r>
        <w:rPr>
          <w:rFonts w:hint="eastAsia" w:ascii="仿宋" w:hAnsi="仿宋" w:cs="仿宋"/>
          <w:color w:val="auto"/>
          <w:kern w:val="0"/>
          <w:sz w:val="32"/>
          <w:szCs w:val="32"/>
          <w:highlight w:val="none"/>
          <w:lang w:eastAsia="zh-CN"/>
        </w:rPr>
        <w:t>下陆区市政维护道路及管网项目</w:t>
      </w:r>
      <w:r>
        <w:rPr>
          <w:rFonts w:hint="eastAsia" w:ascii="仿宋" w:hAnsi="仿宋" w:cs="仿宋"/>
          <w:bCs/>
          <w:color w:val="auto"/>
          <w:sz w:val="32"/>
          <w:szCs w:val="32"/>
          <w:highlight w:val="none"/>
        </w:rPr>
        <w:t>财政支出绩效评价指标体系以</w:t>
      </w:r>
      <w:r>
        <w:rPr>
          <w:rFonts w:hint="eastAsia" w:ascii="仿宋" w:hAnsi="仿宋"/>
          <w:color w:val="auto"/>
          <w:kern w:val="0"/>
          <w:sz w:val="32"/>
          <w:szCs w:val="32"/>
          <w:highlight w:val="none"/>
        </w:rPr>
        <w:t>《湖北省省级预算绩效评价管理暂行办法》中“共性指标体系框架”为基础</w:t>
      </w:r>
      <w:r>
        <w:rPr>
          <w:rFonts w:hint="eastAsia" w:ascii="仿宋" w:hAnsi="仿宋" w:cs="仿宋"/>
          <w:bCs/>
          <w:color w:val="auto"/>
          <w:sz w:val="32"/>
          <w:szCs w:val="32"/>
          <w:highlight w:val="none"/>
        </w:rPr>
        <w:t>，结合对</w:t>
      </w:r>
      <w:r>
        <w:rPr>
          <w:rFonts w:hint="eastAsia" w:ascii="仿宋" w:hAnsi="仿宋" w:cs="仿宋"/>
          <w:bCs/>
          <w:color w:val="auto"/>
          <w:sz w:val="32"/>
          <w:szCs w:val="32"/>
          <w:highlight w:val="none"/>
          <w:lang w:val="en-US" w:eastAsia="zh-CN"/>
        </w:rPr>
        <w:t>下陆区城市管理执法局</w:t>
      </w:r>
      <w:r>
        <w:rPr>
          <w:rFonts w:hint="eastAsia" w:ascii="仿宋" w:hAnsi="仿宋"/>
          <w:color w:val="auto"/>
          <w:kern w:val="0"/>
          <w:sz w:val="32"/>
          <w:szCs w:val="32"/>
          <w:highlight w:val="none"/>
          <w:lang w:val="en-US" w:eastAsia="zh-CN"/>
        </w:rPr>
        <w:t>等单位</w:t>
      </w:r>
      <w:r>
        <w:rPr>
          <w:rFonts w:hint="eastAsia" w:ascii="仿宋" w:hAnsi="仿宋"/>
          <w:color w:val="auto"/>
          <w:kern w:val="0"/>
          <w:sz w:val="32"/>
          <w:szCs w:val="32"/>
          <w:highlight w:val="none"/>
        </w:rPr>
        <w:t>的了解</w:t>
      </w:r>
      <w:r>
        <w:rPr>
          <w:rFonts w:hint="eastAsia" w:ascii="仿宋" w:hAnsi="仿宋" w:cs="仿宋"/>
          <w:bCs/>
          <w:color w:val="auto"/>
          <w:sz w:val="32"/>
          <w:szCs w:val="32"/>
          <w:highlight w:val="none"/>
        </w:rPr>
        <w:t>和</w:t>
      </w:r>
      <w:r>
        <w:rPr>
          <w:rFonts w:hint="eastAsia" w:ascii="仿宋" w:hAnsi="仿宋" w:cs="仿宋"/>
          <w:color w:val="auto"/>
          <w:kern w:val="0"/>
          <w:sz w:val="32"/>
          <w:szCs w:val="32"/>
          <w:highlight w:val="none"/>
          <w:lang w:eastAsia="zh-CN"/>
        </w:rPr>
        <w:t>市政维护道路及管网项目</w:t>
      </w:r>
      <w:r>
        <w:rPr>
          <w:rFonts w:hint="eastAsia" w:ascii="仿宋" w:hAnsi="仿宋" w:cs="仿宋"/>
          <w:bCs/>
          <w:color w:val="auto"/>
          <w:sz w:val="32"/>
          <w:szCs w:val="32"/>
          <w:highlight w:val="none"/>
        </w:rPr>
        <w:t>管理特点进行设计的，按照决策、过程、产出和效果四个部分设计评价指标体系，采用1</w:t>
      </w:r>
      <w:r>
        <w:rPr>
          <w:rFonts w:hint="eastAsia" w:ascii="仿宋" w:hAnsi="仿宋" w:cs="仿宋"/>
          <w:bCs/>
          <w:color w:val="auto"/>
          <w:sz w:val="32"/>
          <w:szCs w:val="32"/>
          <w:highlight w:val="none"/>
          <w:lang w:val="en-US" w:eastAsia="zh-CN"/>
        </w:rPr>
        <w:t>1</w:t>
      </w:r>
      <w:r>
        <w:rPr>
          <w:rFonts w:hint="eastAsia" w:ascii="仿宋" w:hAnsi="仿宋" w:cs="仿宋"/>
          <w:bCs/>
          <w:color w:val="auto"/>
          <w:sz w:val="32"/>
          <w:szCs w:val="32"/>
          <w:highlight w:val="none"/>
        </w:rPr>
        <w:t>个子类指标，设计了</w:t>
      </w:r>
      <w:r>
        <w:rPr>
          <w:rFonts w:hint="eastAsia" w:ascii="仿宋" w:hAnsi="仿宋" w:cs="仿宋"/>
          <w:bCs/>
          <w:color w:val="auto"/>
          <w:sz w:val="32"/>
          <w:szCs w:val="32"/>
          <w:highlight w:val="none"/>
          <w:lang w:val="en-US" w:eastAsia="zh-CN"/>
        </w:rPr>
        <w:t>19</w:t>
      </w:r>
      <w:r>
        <w:rPr>
          <w:rFonts w:hint="eastAsia" w:ascii="仿宋" w:hAnsi="仿宋" w:cs="仿宋"/>
          <w:bCs/>
          <w:color w:val="auto"/>
          <w:sz w:val="32"/>
          <w:szCs w:val="32"/>
          <w:highlight w:val="none"/>
        </w:rPr>
        <w:t>个具体指标。其中，决策部分总分值12分，过程部分总分值</w:t>
      </w:r>
      <w:r>
        <w:rPr>
          <w:rFonts w:hint="eastAsia" w:ascii="仿宋" w:hAnsi="仿宋" w:cs="仿宋"/>
          <w:bCs/>
          <w:color w:val="auto"/>
          <w:sz w:val="32"/>
          <w:szCs w:val="32"/>
          <w:highlight w:val="none"/>
          <w:lang w:val="en-US" w:eastAsia="zh-CN"/>
        </w:rPr>
        <w:t>23</w:t>
      </w:r>
      <w:r>
        <w:rPr>
          <w:rFonts w:hint="eastAsia" w:ascii="仿宋" w:hAnsi="仿宋" w:cs="仿宋"/>
          <w:bCs/>
          <w:color w:val="auto"/>
          <w:sz w:val="32"/>
          <w:szCs w:val="32"/>
          <w:highlight w:val="none"/>
        </w:rPr>
        <w:t>分，产出部分总分值</w:t>
      </w:r>
      <w:r>
        <w:rPr>
          <w:rFonts w:hint="eastAsia" w:ascii="仿宋" w:hAnsi="仿宋" w:cs="仿宋"/>
          <w:bCs/>
          <w:color w:val="auto"/>
          <w:sz w:val="32"/>
          <w:szCs w:val="32"/>
          <w:highlight w:val="none"/>
          <w:lang w:val="en-US" w:eastAsia="zh-CN"/>
        </w:rPr>
        <w:t>30</w:t>
      </w:r>
      <w:r>
        <w:rPr>
          <w:rFonts w:hint="eastAsia" w:ascii="仿宋" w:hAnsi="仿宋" w:cs="仿宋"/>
          <w:bCs/>
          <w:color w:val="auto"/>
          <w:sz w:val="32"/>
          <w:szCs w:val="32"/>
          <w:highlight w:val="none"/>
        </w:rPr>
        <w:t>分，效果部分总分值</w:t>
      </w:r>
      <w:r>
        <w:rPr>
          <w:rFonts w:hint="eastAsia" w:ascii="仿宋" w:hAnsi="仿宋" w:cs="仿宋"/>
          <w:bCs/>
          <w:color w:val="auto"/>
          <w:sz w:val="32"/>
          <w:szCs w:val="32"/>
          <w:highlight w:val="none"/>
          <w:lang w:val="en-US" w:eastAsia="zh-CN"/>
        </w:rPr>
        <w:t>35</w:t>
      </w:r>
      <w:r>
        <w:rPr>
          <w:rFonts w:hint="eastAsia" w:ascii="仿宋" w:hAnsi="仿宋" w:cs="仿宋"/>
          <w:bCs/>
          <w:color w:val="auto"/>
          <w:sz w:val="32"/>
          <w:szCs w:val="32"/>
          <w:highlight w:val="none"/>
        </w:rPr>
        <w:t>分。详情请参见附表2。</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olor w:val="auto"/>
          <w:kern w:val="0"/>
          <w:sz w:val="32"/>
          <w:szCs w:val="32"/>
          <w:highlight w:val="none"/>
        </w:rPr>
      </w:pPr>
      <w:bookmarkStart w:id="37" w:name="_Toc29642"/>
      <w:bookmarkStart w:id="38" w:name="_Toc15057"/>
      <w:bookmarkStart w:id="39" w:name="_Toc8628"/>
      <w:r>
        <w:rPr>
          <w:rFonts w:hint="eastAsia" w:ascii="仿宋" w:hAnsi="仿宋"/>
          <w:color w:val="auto"/>
          <w:kern w:val="0"/>
          <w:sz w:val="32"/>
          <w:szCs w:val="32"/>
          <w:highlight w:val="none"/>
        </w:rPr>
        <w:t>（3）评价方法</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本次绩效评价方法主要采用比较法、公众评判法和其他评价方法，具体方法如下：</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①比较法。是指将实施情况与绩效目标、历史情况、不同部门和地区同类支出情况进行比较的方法。</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②公众评判法。是指通过专家评估、公众问卷及抽样调查等方式进行评判的方法。</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③其他评价方法。一是收集并核实项目实施单位项目实施档案资料；二是查阅账本、凭证，包括对单位的总账、明细账及辅助账等进行核查，对项目的资金来源及去向进行整理；三是结合资金使用，核实项目实施情况。</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（4）评价标准</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本次绩效评价，我们采取计划标准、历史标准、相关管理要求确定的标准进行评价。上级主管部门批复了具体可量化绩效目标的指标采用计划标准评价；有关产出质量指标采用相关管理要求评价。将绩效目标的计划标准、历史标准和相关管理要求与评价过程中工作总结和有关数据进行对比，确定了两者之间的差异并据此评分。</w:t>
      </w:r>
    </w:p>
    <w:p>
      <w:pPr>
        <w:pageBreakBefore w:val="0"/>
        <w:kinsoku/>
        <w:wordWrap/>
        <w:overflowPunct/>
        <w:topLinePunct w:val="0"/>
        <w:autoSpaceDE/>
        <w:autoSpaceDN/>
        <w:bidi w:val="0"/>
        <w:spacing w:line="560" w:lineRule="exact"/>
        <w:ind w:left="0" w:leftChars="0" w:firstLine="640" w:firstLineChars="200"/>
        <w:textAlignment w:val="auto"/>
        <w:rPr>
          <w:rFonts w:ascii="楷体" w:hAnsi="楷体" w:eastAsia="楷体"/>
          <w:color w:val="auto"/>
          <w:kern w:val="0"/>
          <w:sz w:val="32"/>
          <w:szCs w:val="32"/>
          <w:highlight w:val="none"/>
        </w:rPr>
      </w:pPr>
      <w:r>
        <w:rPr>
          <w:rFonts w:hint="eastAsia" w:ascii="楷体" w:hAnsi="楷体" w:eastAsia="楷体"/>
          <w:color w:val="auto"/>
          <w:kern w:val="0"/>
          <w:sz w:val="32"/>
          <w:szCs w:val="32"/>
          <w:highlight w:val="none"/>
        </w:rPr>
        <w:t>3.绩效评价内容和工作程序</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（1）评价内容</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评价内容分为项目决策、项目过程、项目产出和项目效果四个方面。</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项目决策评价，主要考核项目立项程序是否规范，绩效目标是否合理，绩效指标是否明确，资金是否及时到位。</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项目过程评价，主要考核项目在实施过程中，业务管理和财务管理两方面是否有健全的管理制度及其执行是否到位。</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项目产出评价，是要结合项目的统计数据和管理台账，检查项目履行职责时工作任务数量、质量、及时性等方面是否达到了预定目标。</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项目效果评价，主要考核项目取得的实际效果，包括取得的社会效益、服务对象满意度和可持续影响等方面。</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olor w:val="auto"/>
          <w:kern w:val="0"/>
          <w:sz w:val="32"/>
          <w:szCs w:val="30"/>
          <w:highlight w:val="none"/>
        </w:rPr>
      </w:pPr>
      <w:r>
        <w:rPr>
          <w:rFonts w:hint="eastAsia" w:ascii="仿宋" w:hAnsi="仿宋"/>
          <w:color w:val="auto"/>
          <w:kern w:val="0"/>
          <w:sz w:val="32"/>
          <w:szCs w:val="30"/>
          <w:highlight w:val="none"/>
        </w:rPr>
        <w:t>（2）评价工作程序</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根据</w:t>
      </w:r>
      <w:r>
        <w:rPr>
          <w:rFonts w:hint="eastAsia" w:ascii="仿宋" w:hAnsi="仿宋" w:cs="仿宋"/>
          <w:color w:val="auto"/>
          <w:sz w:val="32"/>
          <w:szCs w:val="32"/>
          <w:highlight w:val="none"/>
          <w:lang w:val="en-US" w:eastAsia="zh-CN"/>
        </w:rPr>
        <w:t>下陆区</w:t>
      </w:r>
      <w:r>
        <w:rPr>
          <w:rFonts w:hint="eastAsia" w:ascii="仿宋" w:hAnsi="仿宋" w:cs="仿宋"/>
          <w:color w:val="auto"/>
          <w:sz w:val="32"/>
          <w:szCs w:val="32"/>
          <w:highlight w:val="none"/>
        </w:rPr>
        <w:t>财政局的要求组成绩效评价工作组，开展具体工作。</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①拟定工作方案。初步制定绩效评价具体任务实施方案，包括时间安排、工作步骤、人员分工等。</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②收集相关基础信息资料，包括</w:t>
      </w:r>
      <w:r>
        <w:rPr>
          <w:rFonts w:hint="eastAsia" w:ascii="仿宋" w:hAnsi="仿宋" w:cs="仿宋"/>
          <w:color w:val="auto"/>
          <w:sz w:val="32"/>
          <w:szCs w:val="32"/>
          <w:highlight w:val="none"/>
          <w:lang w:val="en-US" w:eastAsia="zh-CN"/>
        </w:rPr>
        <w:t>黄石市下陆区城市管理执法局等单位</w:t>
      </w:r>
      <w:r>
        <w:rPr>
          <w:rFonts w:hint="eastAsia" w:ascii="仿宋" w:hAnsi="仿宋" w:cs="仿宋"/>
          <w:color w:val="auto"/>
          <w:sz w:val="32"/>
          <w:szCs w:val="32"/>
          <w:highlight w:val="none"/>
        </w:rPr>
        <w:t>提供的项目工作总结、绩效管理目标考核情况及资金计划文件资料等。</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③到</w:t>
      </w:r>
      <w:r>
        <w:rPr>
          <w:rFonts w:hint="eastAsia" w:ascii="仿宋" w:hAnsi="仿宋" w:cs="仿宋"/>
          <w:color w:val="auto"/>
          <w:sz w:val="32"/>
          <w:szCs w:val="32"/>
          <w:highlight w:val="none"/>
          <w:lang w:val="en-US" w:eastAsia="zh-CN"/>
        </w:rPr>
        <w:t>黄石市下陆区城市管理执法局等单位</w:t>
      </w:r>
      <w:r>
        <w:rPr>
          <w:rFonts w:hint="eastAsia" w:ascii="仿宋" w:hAnsi="仿宋" w:cs="仿宋"/>
          <w:color w:val="auto"/>
          <w:sz w:val="32"/>
          <w:szCs w:val="32"/>
          <w:highlight w:val="none"/>
        </w:rPr>
        <w:t>调研，收集基础数据和资料。</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④按照《湖北省省级预算绩效评价管理暂行办法》中湖北省省级预算项目绩效评价共性指标体系框架，草拟评价指标体系、指标标准值、基础数据表等。</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⑤在指标体系完成初步设计后，与</w:t>
      </w:r>
      <w:r>
        <w:rPr>
          <w:rFonts w:hint="eastAsia" w:ascii="仿宋" w:hAnsi="仿宋" w:cs="仿宋"/>
          <w:color w:val="auto"/>
          <w:sz w:val="32"/>
          <w:szCs w:val="32"/>
          <w:highlight w:val="none"/>
          <w:lang w:val="en-US" w:eastAsia="zh-CN"/>
        </w:rPr>
        <w:t>黄石市下陆区财政局</w:t>
      </w:r>
      <w:r>
        <w:rPr>
          <w:rFonts w:hint="eastAsia" w:ascii="仿宋" w:hAnsi="仿宋" w:cs="仿宋"/>
          <w:color w:val="auto"/>
          <w:sz w:val="32"/>
          <w:szCs w:val="32"/>
          <w:highlight w:val="none"/>
        </w:rPr>
        <w:t>交换意见，形成最终评价指标表。</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⑥到</w:t>
      </w:r>
      <w:r>
        <w:rPr>
          <w:rFonts w:hint="eastAsia" w:ascii="仿宋" w:hAnsi="仿宋" w:cs="仿宋"/>
          <w:color w:val="auto"/>
          <w:sz w:val="32"/>
          <w:szCs w:val="32"/>
          <w:highlight w:val="none"/>
          <w:lang w:val="en-US" w:eastAsia="zh-CN"/>
        </w:rPr>
        <w:t>黄石市下陆区城市管理执法局等单位</w:t>
      </w:r>
      <w:r>
        <w:rPr>
          <w:rFonts w:hint="eastAsia" w:ascii="仿宋" w:hAnsi="仿宋" w:cs="仿宋"/>
          <w:color w:val="auto"/>
          <w:sz w:val="32"/>
          <w:szCs w:val="32"/>
          <w:highlight w:val="none"/>
        </w:rPr>
        <w:t>询查、复核等方式整理评价数据和资料，并通过调查问卷方式，了解项目实施效果和</w:t>
      </w:r>
      <w:r>
        <w:rPr>
          <w:rFonts w:hint="eastAsia" w:ascii="仿宋" w:hAnsi="仿宋" w:cs="仿宋"/>
          <w:color w:val="auto"/>
          <w:sz w:val="32"/>
          <w:szCs w:val="32"/>
          <w:highlight w:val="none"/>
          <w:lang w:val="en-US" w:eastAsia="zh-CN"/>
        </w:rPr>
        <w:t>公众</w:t>
      </w:r>
      <w:r>
        <w:rPr>
          <w:rFonts w:hint="eastAsia" w:ascii="仿宋" w:hAnsi="仿宋" w:cs="仿宋"/>
          <w:color w:val="auto"/>
          <w:sz w:val="32"/>
          <w:szCs w:val="32"/>
          <w:highlight w:val="none"/>
        </w:rPr>
        <w:t>对象满意度情况。</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⑦分析基础数据并计算评价结果。由绩效评价工作组根据提供的资料及现场检查情况，核实基础数据的完整性、真实性以及口径的一致性，按评价标准和评价规范，对绩效考评量化指标各项具体指标计算和打分。</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⑧形成综合评价结论、起草评价报告；完成评价报告的内部审核后，递交</w:t>
      </w:r>
      <w:r>
        <w:rPr>
          <w:rFonts w:hint="eastAsia" w:ascii="仿宋" w:hAnsi="仿宋" w:cs="仿宋"/>
          <w:color w:val="auto"/>
          <w:sz w:val="32"/>
          <w:szCs w:val="32"/>
          <w:highlight w:val="none"/>
          <w:lang w:val="en-US" w:eastAsia="zh-CN"/>
        </w:rPr>
        <w:t>黄石市下陆区财政局</w:t>
      </w:r>
      <w:r>
        <w:rPr>
          <w:rFonts w:hint="eastAsia" w:ascii="仿宋" w:hAnsi="仿宋" w:cs="仿宋"/>
          <w:color w:val="auto"/>
          <w:sz w:val="32"/>
          <w:szCs w:val="32"/>
          <w:highlight w:val="none"/>
        </w:rPr>
        <w:t>征求意见。</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⑨</w:t>
      </w:r>
      <w:r>
        <w:rPr>
          <w:rFonts w:hint="eastAsia" w:ascii="仿宋" w:hAnsi="仿宋" w:cs="仿宋"/>
          <w:color w:val="auto"/>
          <w:sz w:val="32"/>
          <w:szCs w:val="32"/>
          <w:highlight w:val="none"/>
          <w:lang w:val="en-US" w:eastAsia="zh-CN"/>
        </w:rPr>
        <w:t>黄石市下陆区财政局</w:t>
      </w:r>
      <w:r>
        <w:rPr>
          <w:rFonts w:hint="eastAsia" w:ascii="仿宋" w:hAnsi="仿宋" w:cs="仿宋"/>
          <w:color w:val="auto"/>
          <w:sz w:val="32"/>
          <w:szCs w:val="32"/>
          <w:highlight w:val="none"/>
        </w:rPr>
        <w:t>提供反馈意见，根据反馈意见修改完善评价报告。</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⑩出具正式绩效评价报告。</w:t>
      </w:r>
    </w:p>
    <w:p>
      <w:pPr>
        <w:pStyle w:val="5"/>
        <w:pageBreakBefore w:val="0"/>
        <w:kinsoku/>
        <w:wordWrap/>
        <w:overflowPunct/>
        <w:topLinePunct w:val="0"/>
        <w:autoSpaceDE/>
        <w:autoSpaceDN/>
        <w:bidi w:val="0"/>
        <w:spacing w:before="0" w:after="0" w:line="560" w:lineRule="exact"/>
        <w:ind w:left="0" w:leftChars="0" w:firstLine="640" w:firstLineChars="200"/>
        <w:textAlignment w:val="auto"/>
        <w:rPr>
          <w:rFonts w:ascii="楷体" w:hAnsi="楷体" w:eastAsia="楷体" w:cs="楷体"/>
          <w:color w:val="auto"/>
          <w:sz w:val="32"/>
          <w:szCs w:val="32"/>
          <w:highlight w:val="none"/>
        </w:rPr>
      </w:pPr>
      <w:bookmarkStart w:id="40" w:name="_Toc20177"/>
      <w:r>
        <w:rPr>
          <w:rFonts w:hint="eastAsia" w:ascii="楷体" w:hAnsi="楷体" w:eastAsia="楷体" w:cs="楷体"/>
          <w:color w:val="auto"/>
          <w:sz w:val="32"/>
          <w:szCs w:val="32"/>
          <w:highlight w:val="none"/>
        </w:rPr>
        <w:t>（三）绩效指标完成情况分析</w:t>
      </w:r>
      <w:bookmarkEnd w:id="37"/>
      <w:bookmarkEnd w:id="38"/>
      <w:bookmarkEnd w:id="40"/>
    </w:p>
    <w:bookmarkEnd w:id="39"/>
    <w:p>
      <w:pPr>
        <w:pStyle w:val="2"/>
        <w:pageBreakBefore w:val="0"/>
        <w:kinsoku/>
        <w:wordWrap/>
        <w:overflowPunct/>
        <w:topLinePunct w:val="0"/>
        <w:autoSpaceDE/>
        <w:autoSpaceDN/>
        <w:bidi w:val="0"/>
        <w:spacing w:before="0" w:after="0" w:line="560" w:lineRule="exact"/>
        <w:ind w:left="0" w:leftChars="0" w:firstLine="643" w:firstLineChars="200"/>
        <w:textAlignment w:val="auto"/>
        <w:rPr>
          <w:rFonts w:ascii="仿宋" w:hAnsi="仿宋" w:cs="仿宋"/>
          <w:b/>
          <w:bCs/>
          <w:color w:val="auto"/>
          <w:sz w:val="32"/>
          <w:szCs w:val="32"/>
          <w:highlight w:val="none"/>
        </w:rPr>
      </w:pPr>
      <w:bookmarkStart w:id="41" w:name="_Toc24414"/>
      <w:bookmarkStart w:id="42" w:name="_Toc12450"/>
      <w:bookmarkStart w:id="43" w:name="_Toc26386"/>
      <w:bookmarkStart w:id="44" w:name="_Toc27472"/>
      <w:bookmarkStart w:id="45" w:name="_Toc25681"/>
      <w:r>
        <w:rPr>
          <w:rFonts w:hint="eastAsia" w:ascii="仿宋" w:hAnsi="仿宋" w:cs="仿宋"/>
          <w:b/>
          <w:bCs/>
          <w:color w:val="auto"/>
          <w:sz w:val="32"/>
          <w:szCs w:val="32"/>
          <w:highlight w:val="none"/>
        </w:rPr>
        <w:t>1、项目决策情况</w:t>
      </w:r>
      <w:bookmarkEnd w:id="41"/>
      <w:bookmarkEnd w:id="42"/>
      <w:bookmarkEnd w:id="43"/>
      <w:bookmarkEnd w:id="44"/>
      <w:bookmarkEnd w:id="45"/>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为了全面、深入的了解本项目的决策情况，绩效评价人员从项目立项、绩效目标、资金投入三个方面对项目的决策情况进行了分析：</w:t>
      </w:r>
    </w:p>
    <w:p>
      <w:pPr>
        <w:pageBreakBefore w:val="0"/>
        <w:widowControl/>
        <w:numPr>
          <w:ilvl w:val="0"/>
          <w:numId w:val="2"/>
        </w:numPr>
        <w:kinsoku/>
        <w:wordWrap/>
        <w:overflowPunct/>
        <w:topLinePunct w:val="0"/>
        <w:autoSpaceDE/>
        <w:autoSpaceDN/>
        <w:bidi w:val="0"/>
        <w:spacing w:line="560" w:lineRule="exact"/>
        <w:ind w:left="0" w:leftChars="0" w:firstLine="643" w:firstLineChars="200"/>
        <w:jc w:val="left"/>
        <w:textAlignment w:val="auto"/>
        <w:rPr>
          <w:rFonts w:ascii="仿宋" w:hAnsi="仿宋" w:cs="仿宋"/>
          <w:color w:val="auto"/>
          <w:sz w:val="32"/>
          <w:szCs w:val="32"/>
          <w:highlight w:val="none"/>
        </w:rPr>
      </w:pPr>
      <w:r>
        <w:rPr>
          <w:rFonts w:hint="eastAsia" w:ascii="仿宋" w:hAnsi="仿宋" w:cs="仿宋"/>
          <w:b/>
          <w:bCs/>
          <w:color w:val="auto"/>
          <w:sz w:val="32"/>
          <w:szCs w:val="32"/>
          <w:highlight w:val="none"/>
        </w:rPr>
        <w:t>项目立项</w:t>
      </w:r>
      <w:bookmarkStart w:id="46" w:name="_Toc434318900"/>
      <w:bookmarkStart w:id="47" w:name="_Toc434318709"/>
    </w:p>
    <w:bookmarkEnd w:id="46"/>
    <w:bookmarkEnd w:id="47"/>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cs="仿宋"/>
          <w:color w:val="auto"/>
          <w:sz w:val="32"/>
          <w:szCs w:val="32"/>
          <w:highlight w:val="none"/>
          <w:lang w:eastAsia="zh-CN"/>
        </w:rPr>
      </w:pPr>
      <w:r>
        <w:rPr>
          <w:rFonts w:hint="eastAsia" w:ascii="仿宋" w:hAnsi="仿宋" w:cs="仿宋"/>
          <w:color w:val="auto"/>
          <w:sz w:val="32"/>
          <w:szCs w:val="32"/>
          <w:highlight w:val="none"/>
          <w:lang w:eastAsia="zh-CN"/>
        </w:rPr>
        <w:t>《</w:t>
      </w:r>
      <w:r>
        <w:rPr>
          <w:rFonts w:hint="eastAsia" w:ascii="仿宋" w:hAnsi="仿宋" w:eastAsia="仿宋" w:cs="仿宋"/>
          <w:color w:val="auto"/>
          <w:kern w:val="0"/>
          <w:sz w:val="32"/>
          <w:szCs w:val="32"/>
          <w:highlight w:val="none"/>
          <w:lang w:val="en-US" w:eastAsia="zh-CN" w:bidi="ar"/>
        </w:rPr>
        <w:t>黄石市国民经济和社会发展第十四个五年</w:t>
      </w:r>
      <w:r>
        <w:rPr>
          <w:rFonts w:hint="default" w:ascii="仿宋" w:hAnsi="仿宋" w:eastAsia="仿宋" w:cs="仿宋"/>
          <w:color w:val="auto"/>
          <w:kern w:val="0"/>
          <w:sz w:val="32"/>
          <w:szCs w:val="32"/>
          <w:highlight w:val="none"/>
          <w:lang w:val="en-US" w:eastAsia="zh-CN" w:bidi="ar"/>
        </w:rPr>
        <w:t>规划和二</w:t>
      </w:r>
      <w:r>
        <w:rPr>
          <w:rFonts w:hint="eastAsia" w:ascii="仿宋" w:hAnsi="仿宋" w:eastAsia="仿宋" w:cs="仿宋"/>
          <w:color w:val="auto"/>
          <w:kern w:val="0"/>
          <w:sz w:val="32"/>
          <w:szCs w:val="32"/>
          <w:highlight w:val="none"/>
          <w:lang w:val="en-US" w:eastAsia="zh-CN" w:bidi="ar"/>
        </w:rPr>
        <w:t>〇</w:t>
      </w:r>
      <w:r>
        <w:rPr>
          <w:rFonts w:hint="default" w:ascii="仿宋" w:hAnsi="仿宋" w:eastAsia="仿宋" w:cs="仿宋"/>
          <w:color w:val="auto"/>
          <w:kern w:val="0"/>
          <w:sz w:val="32"/>
          <w:szCs w:val="32"/>
          <w:highlight w:val="none"/>
          <w:lang w:val="en-US" w:eastAsia="zh-CN" w:bidi="ar"/>
        </w:rPr>
        <w:t>三五年远景目标纲要</w:t>
      </w:r>
      <w:r>
        <w:rPr>
          <w:rFonts w:hint="eastAsia" w:ascii="仿宋" w:hAnsi="仿宋" w:cs="仿宋"/>
          <w:color w:val="auto"/>
          <w:sz w:val="32"/>
          <w:szCs w:val="32"/>
          <w:highlight w:val="none"/>
          <w:lang w:eastAsia="zh-CN"/>
        </w:rPr>
        <w:t>》</w:t>
      </w:r>
      <w:r>
        <w:rPr>
          <w:rFonts w:hint="eastAsia" w:ascii="仿宋" w:hAnsi="仿宋" w:cs="仿宋"/>
          <w:color w:val="auto"/>
          <w:sz w:val="32"/>
          <w:szCs w:val="32"/>
          <w:highlight w:val="none"/>
          <w:lang w:val="en-US" w:eastAsia="zh-CN"/>
        </w:rPr>
        <w:t>提出：</w:t>
      </w:r>
      <w:r>
        <w:rPr>
          <w:rFonts w:ascii="仿宋" w:hAnsi="仿宋" w:eastAsia="仿宋" w:cs="仿宋"/>
          <w:color w:val="auto"/>
          <w:kern w:val="0"/>
          <w:sz w:val="32"/>
          <w:szCs w:val="32"/>
          <w:highlight w:val="none"/>
          <w:lang w:val="en-US" w:eastAsia="zh-CN" w:bidi="ar"/>
        </w:rPr>
        <w:t>深化城管执法体制改革，加强城市管理执法队伍建设，推进</w:t>
      </w:r>
      <w:r>
        <w:rPr>
          <w:rFonts w:hint="eastAsia" w:ascii="仿宋" w:hAnsi="仿宋" w:eastAsia="仿宋" w:cs="仿宋"/>
          <w:color w:val="auto"/>
          <w:kern w:val="0"/>
          <w:sz w:val="32"/>
          <w:szCs w:val="32"/>
          <w:highlight w:val="none"/>
          <w:lang w:val="en-US" w:eastAsia="zh-CN" w:bidi="ar"/>
        </w:rPr>
        <w:t>严格规范公正文明执法。深入推进“美好环境与幸福生活共同缔造”活动，推动城市治理资源下沉社区。推进多元化投融资体制改革，构建“政府引导、金融支持、社会参与、市场运作”的城市管理事业发展体制机制。积极探索城市管理市场化、社会化服务新模式，鼓励、引导多主体全方位参与城市治理，形成多元共治、良性互动的城市治理格局。</w:t>
      </w:r>
      <w:r>
        <w:rPr>
          <w:rFonts w:hint="eastAsia" w:ascii="仿宋" w:hAnsi="仿宋" w:cs="仿宋"/>
          <w:color w:val="auto"/>
          <w:sz w:val="32"/>
          <w:szCs w:val="32"/>
          <w:highlight w:val="none"/>
        </w:rPr>
        <w:t>项目立项</w:t>
      </w:r>
      <w:r>
        <w:rPr>
          <w:rFonts w:hint="eastAsia" w:ascii="仿宋" w:hAnsi="仿宋" w:cs="仿宋"/>
          <w:color w:val="auto"/>
          <w:sz w:val="32"/>
          <w:szCs w:val="32"/>
          <w:highlight w:val="none"/>
          <w:lang w:eastAsia="zh-CN"/>
        </w:rPr>
        <w:t>依据《市人民政府办公室关于印发&lt;黄石市城区环卫园林作业市场化改革实施方案&gt;的通知》（黄政办发〔2021〕17号）等法规文件。</w:t>
      </w:r>
    </w:p>
    <w:p>
      <w:pPr>
        <w:keepNext w:val="0"/>
        <w:keepLines w:val="0"/>
        <w:pageBreakBefore w:val="0"/>
        <w:widowControl/>
        <w:suppressLineNumbers w:val="0"/>
        <w:kinsoku/>
        <w:wordWrap/>
        <w:overflowPunct/>
        <w:topLinePunct w:val="0"/>
        <w:autoSpaceDE/>
        <w:autoSpaceDN/>
        <w:bidi w:val="0"/>
        <w:spacing w:line="560" w:lineRule="exact"/>
        <w:ind w:left="0" w:leftChars="0" w:firstLine="640" w:firstLineChars="200"/>
        <w:jc w:val="both"/>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lang w:eastAsia="zh-CN"/>
        </w:rPr>
        <w:t>项目</w:t>
      </w:r>
      <w:r>
        <w:rPr>
          <w:rFonts w:hint="eastAsia" w:ascii="仿宋" w:hAnsi="仿宋" w:cs="仿宋"/>
          <w:color w:val="auto"/>
          <w:sz w:val="32"/>
          <w:szCs w:val="32"/>
          <w:highlight w:val="none"/>
        </w:rPr>
        <w:t>符合国家法律法规、国民经济发展规划和相关政策，符合行业发展规划和政策要求，与部门职责范围相符且属于公共财政支持范围，无同类项目或部门内部无相关项目重复。</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bCs/>
          <w:color w:val="auto"/>
          <w:sz w:val="32"/>
          <w:szCs w:val="32"/>
          <w:highlight w:val="none"/>
        </w:rPr>
      </w:pPr>
      <w:r>
        <w:rPr>
          <w:rFonts w:hint="eastAsia" w:ascii="仿宋" w:hAnsi="仿宋" w:cs="仿宋"/>
          <w:bCs/>
          <w:color w:val="auto"/>
          <w:sz w:val="32"/>
          <w:szCs w:val="32"/>
          <w:highlight w:val="none"/>
        </w:rPr>
        <w:t>项目按照规定的程序申请设立，提交的文件、材料符合相关要求，事前已经过必要的可行性研究、专家论证、风险评估、集体决策等。</w:t>
      </w:r>
    </w:p>
    <w:p>
      <w:pPr>
        <w:pStyle w:val="23"/>
        <w:pageBreakBefore w:val="0"/>
        <w:kinsoku/>
        <w:wordWrap/>
        <w:overflowPunct/>
        <w:topLinePunct w:val="0"/>
        <w:autoSpaceDE/>
        <w:autoSpaceDN/>
        <w:bidi w:val="0"/>
        <w:spacing w:after="0" w:line="560" w:lineRule="exact"/>
        <w:ind w:left="0" w:leftChars="0" w:firstLine="640" w:firstLineChars="200"/>
        <w:textAlignment w:val="auto"/>
        <w:rPr>
          <w:rFonts w:ascii="仿宋" w:hAnsi="仿宋" w:cs="仿宋"/>
          <w:bCs/>
          <w:color w:val="auto"/>
          <w:sz w:val="32"/>
          <w:szCs w:val="32"/>
          <w:highlight w:val="none"/>
        </w:rPr>
      </w:pPr>
      <w:r>
        <w:rPr>
          <w:rFonts w:hint="eastAsia" w:ascii="仿宋" w:hAnsi="仿宋" w:cs="仿宋"/>
          <w:bCs/>
          <w:color w:val="auto"/>
          <w:sz w:val="32"/>
          <w:szCs w:val="32"/>
          <w:highlight w:val="none"/>
        </w:rPr>
        <w:t>标准分4分，得分</w:t>
      </w:r>
      <w:r>
        <w:rPr>
          <w:rFonts w:hint="eastAsia" w:ascii="仿宋" w:hAnsi="仿宋" w:cs="仿宋"/>
          <w:bCs/>
          <w:color w:val="auto"/>
          <w:sz w:val="32"/>
          <w:szCs w:val="32"/>
          <w:highlight w:val="none"/>
          <w:lang w:val="en-US" w:eastAsia="zh-CN"/>
        </w:rPr>
        <w:t>4</w:t>
      </w:r>
      <w:r>
        <w:rPr>
          <w:rFonts w:hint="eastAsia" w:ascii="仿宋" w:hAnsi="仿宋" w:cs="仿宋"/>
          <w:bCs/>
          <w:color w:val="auto"/>
          <w:sz w:val="32"/>
          <w:szCs w:val="32"/>
          <w:highlight w:val="none"/>
        </w:rPr>
        <w:t>分。</w:t>
      </w:r>
    </w:p>
    <w:p>
      <w:pPr>
        <w:pageBreakBefore w:val="0"/>
        <w:kinsoku/>
        <w:wordWrap/>
        <w:overflowPunct/>
        <w:topLinePunct w:val="0"/>
        <w:autoSpaceDE/>
        <w:autoSpaceDN/>
        <w:bidi w:val="0"/>
        <w:spacing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（2）绩效目标</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lang w:eastAsia="zh-CN"/>
        </w:rPr>
      </w:pPr>
      <w:r>
        <w:rPr>
          <w:rFonts w:hint="eastAsia" w:ascii="仿宋" w:hAnsi="仿宋" w:cs="仿宋"/>
          <w:color w:val="auto"/>
          <w:sz w:val="32"/>
          <w:szCs w:val="32"/>
          <w:highlight w:val="none"/>
          <w:lang w:eastAsia="zh-CN"/>
        </w:rPr>
        <w:t>评价依据：《项目支出绩效目标申报表（2022年下陆区市政维护道路及管网项目）》。项目设定了总目标和绩效指标，但是目标和指标的设计不符合目标管理规范，如:质量指标、时效指标和效益指标均为空白。绩效指标量化较差。设定的个别指标与项目目标任务数或计划数相对应</w:t>
      </w:r>
      <w:r>
        <w:rPr>
          <w:rFonts w:hint="eastAsia" w:cs="仿宋"/>
          <w:color w:val="auto"/>
          <w:sz w:val="32"/>
          <w:szCs w:val="32"/>
          <w:highlight w:val="none"/>
          <w:lang w:eastAsia="zh-CN"/>
        </w:rPr>
        <w:t>。</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color w:val="auto"/>
          <w:highlight w:val="none"/>
          <w:lang w:val="en-US"/>
        </w:rPr>
      </w:pPr>
      <w:r>
        <w:rPr>
          <w:rFonts w:hint="eastAsia" w:cs="仿宋"/>
          <w:color w:val="auto"/>
          <w:sz w:val="32"/>
          <w:szCs w:val="32"/>
          <w:highlight w:val="none"/>
          <w:lang w:val="en-US" w:eastAsia="zh-CN"/>
        </w:rPr>
        <w:t>标准分4分，扣分3分，得分1分</w:t>
      </w:r>
      <w:r>
        <w:rPr>
          <w:rFonts w:hint="eastAsia"/>
          <w:bCs/>
          <w:color w:val="auto"/>
          <w:sz w:val="32"/>
          <w:highlight w:val="none"/>
          <w:lang w:val="en-US"/>
        </w:rPr>
        <w:t>。</w:t>
      </w:r>
    </w:p>
    <w:p>
      <w:pPr>
        <w:pageBreakBefore w:val="0"/>
        <w:kinsoku/>
        <w:wordWrap/>
        <w:overflowPunct/>
        <w:topLinePunct w:val="0"/>
        <w:autoSpaceDE/>
        <w:autoSpaceDN/>
        <w:bidi w:val="0"/>
        <w:spacing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（3）资金投入</w:t>
      </w:r>
    </w:p>
    <w:p>
      <w:pPr>
        <w:pageBreakBefore w:val="0"/>
        <w:kinsoku/>
        <w:wordWrap/>
        <w:overflowPunct/>
        <w:topLinePunct w:val="0"/>
        <w:autoSpaceDE/>
        <w:autoSpaceDN/>
        <w:bidi w:val="0"/>
        <w:spacing w:line="560" w:lineRule="exact"/>
        <w:ind w:left="0" w:leftChars="0" w:firstLine="643" w:firstLineChars="200"/>
        <w:textAlignment w:val="auto"/>
        <w:outlineLvl w:val="2"/>
        <w:rPr>
          <w:rFonts w:ascii="仿宋" w:hAnsi="仿宋" w:cs="仿宋"/>
          <w:bCs/>
          <w:color w:val="auto"/>
          <w:sz w:val="32"/>
          <w:szCs w:val="32"/>
          <w:highlight w:val="none"/>
        </w:rPr>
      </w:pPr>
      <w:r>
        <w:rPr>
          <w:rFonts w:hint="eastAsia" w:ascii="仿宋" w:hAnsi="仿宋" w:cs="仿宋"/>
          <w:b/>
          <w:bCs/>
          <w:color w:val="auto"/>
          <w:sz w:val="32"/>
          <w:szCs w:val="32"/>
          <w:highlight w:val="none"/>
        </w:rPr>
        <w:t>①</w:t>
      </w:r>
      <w:r>
        <w:rPr>
          <w:rFonts w:hint="eastAsia" w:ascii="仿宋" w:hAnsi="仿宋" w:cs="仿宋"/>
          <w:bCs/>
          <w:color w:val="auto"/>
          <w:sz w:val="32"/>
          <w:szCs w:val="32"/>
          <w:highlight w:val="none"/>
        </w:rPr>
        <w:t>预算编制科学性</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rPr>
      </w:pPr>
      <w:bookmarkStart w:id="48" w:name="_Toc434318904"/>
      <w:bookmarkStart w:id="49" w:name="_Toc434318713"/>
      <w:r>
        <w:rPr>
          <w:rFonts w:hint="eastAsia" w:ascii="仿宋" w:hAnsi="仿宋" w:cs="仿宋"/>
          <w:color w:val="auto"/>
          <w:sz w:val="32"/>
          <w:szCs w:val="32"/>
          <w:highlight w:val="none"/>
        </w:rPr>
        <w:t>评价依据：《项目支出绩效目标申报表（2022年下陆区市政维护道路及管网项目）》、《关于环卫园林市场化改革进展情况的工作汇报》（2021.7.23区委常委会汇报）。项目预算编制经过科学认证，预算内容（项目支出明细）与项目内容匹配，预算额度测算依据充分，预算确定的项目投资额或资金量与工作任务匹配，但未按照标准编制（人员经费未并入部门预算的“基本支出”）。</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color w:val="auto"/>
          <w:highlight w:val="none"/>
          <w:lang w:val="en-US"/>
        </w:rPr>
      </w:pPr>
      <w:r>
        <w:rPr>
          <w:rFonts w:hint="eastAsia" w:ascii="仿宋" w:hAnsi="仿宋" w:cs="仿宋"/>
          <w:color w:val="auto"/>
          <w:sz w:val="32"/>
          <w:szCs w:val="32"/>
          <w:highlight w:val="none"/>
        </w:rPr>
        <w:t>标准分2分，扣分</w:t>
      </w:r>
      <w:r>
        <w:rPr>
          <w:rFonts w:hint="eastAsia" w:cs="仿宋"/>
          <w:color w:val="auto"/>
          <w:sz w:val="32"/>
          <w:szCs w:val="32"/>
          <w:highlight w:val="none"/>
          <w:lang w:val="en-US" w:eastAsia="zh-CN"/>
        </w:rPr>
        <w:t>0.50</w:t>
      </w:r>
      <w:r>
        <w:rPr>
          <w:rFonts w:hint="eastAsia" w:ascii="仿宋" w:hAnsi="仿宋" w:cs="仿宋"/>
          <w:color w:val="auto"/>
          <w:sz w:val="32"/>
          <w:szCs w:val="32"/>
          <w:highlight w:val="none"/>
        </w:rPr>
        <w:t>分，得分</w:t>
      </w:r>
      <w:r>
        <w:rPr>
          <w:rFonts w:hint="eastAsia" w:cs="仿宋"/>
          <w:color w:val="auto"/>
          <w:sz w:val="32"/>
          <w:szCs w:val="32"/>
          <w:highlight w:val="none"/>
          <w:lang w:val="en-US" w:eastAsia="zh-CN"/>
        </w:rPr>
        <w:t>1.50</w:t>
      </w:r>
      <w:r>
        <w:rPr>
          <w:rFonts w:hint="eastAsia" w:ascii="仿宋" w:hAnsi="仿宋" w:cs="仿宋"/>
          <w:color w:val="auto"/>
          <w:sz w:val="32"/>
          <w:szCs w:val="32"/>
          <w:highlight w:val="none"/>
        </w:rPr>
        <w:t>分。</w:t>
      </w:r>
    </w:p>
    <w:bookmarkEnd w:id="48"/>
    <w:bookmarkEnd w:id="49"/>
    <w:p>
      <w:pPr>
        <w:pageBreakBefore w:val="0"/>
        <w:kinsoku/>
        <w:wordWrap/>
        <w:overflowPunct/>
        <w:topLinePunct w:val="0"/>
        <w:autoSpaceDE/>
        <w:autoSpaceDN/>
        <w:bidi w:val="0"/>
        <w:spacing w:line="560" w:lineRule="exact"/>
        <w:ind w:left="0" w:leftChars="0" w:firstLine="643" w:firstLineChars="200"/>
        <w:textAlignment w:val="auto"/>
        <w:outlineLvl w:val="2"/>
        <w:rPr>
          <w:rFonts w:ascii="仿宋" w:hAnsi="仿宋" w:cs="仿宋"/>
          <w:color w:val="auto"/>
          <w:sz w:val="32"/>
          <w:szCs w:val="32"/>
          <w:highlight w:val="none"/>
        </w:rPr>
      </w:pPr>
      <w:r>
        <w:rPr>
          <w:rFonts w:hint="eastAsia" w:ascii="仿宋" w:hAnsi="仿宋" w:cs="仿宋"/>
          <w:b/>
          <w:bCs/>
          <w:color w:val="auto"/>
          <w:sz w:val="32"/>
          <w:szCs w:val="32"/>
          <w:highlight w:val="none"/>
        </w:rPr>
        <w:t>②</w:t>
      </w:r>
      <w:r>
        <w:rPr>
          <w:rFonts w:hint="eastAsia" w:ascii="仿宋" w:hAnsi="仿宋" w:cs="仿宋"/>
          <w:color w:val="auto"/>
          <w:sz w:val="32"/>
          <w:szCs w:val="32"/>
          <w:highlight w:val="none"/>
        </w:rPr>
        <w:t>资金分配合理性</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评价依据：《项目支出绩效目标申报表（2022年下陆区市政维护道路及管网项目）》、《关于环卫园林市场化改革进展情况的工作汇报》（2021.7.23区委常委会汇报）。预算资金分配依据充分，资金分配额度合理，与项目单位或地方实际相适应。</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标准分2分，得分2分。</w:t>
      </w:r>
    </w:p>
    <w:p>
      <w:pPr>
        <w:pStyle w:val="14"/>
        <w:pageBreakBefore w:val="0"/>
        <w:kinsoku/>
        <w:wordWrap/>
        <w:overflowPunct/>
        <w:topLinePunct w:val="0"/>
        <w:autoSpaceDE/>
        <w:autoSpaceDN/>
        <w:bidi w:val="0"/>
        <w:spacing w:line="560" w:lineRule="exact"/>
        <w:ind w:left="0" w:leftChars="0" w:firstLine="643" w:firstLineChars="200"/>
        <w:textAlignment w:val="auto"/>
        <w:rPr>
          <w:b/>
          <w:bCs/>
          <w:color w:val="auto"/>
          <w:sz w:val="32"/>
          <w:highlight w:val="none"/>
        </w:rPr>
      </w:pPr>
      <w:r>
        <w:rPr>
          <w:rFonts w:hint="eastAsia"/>
          <w:b/>
          <w:bCs/>
          <w:color w:val="auto"/>
          <w:sz w:val="32"/>
          <w:highlight w:val="none"/>
        </w:rPr>
        <w:t>2、项目过程情况</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绩效评价人员从资金管理、组织实施两个方面对项目的过程情况进行了分析：</w:t>
      </w:r>
    </w:p>
    <w:p>
      <w:pPr>
        <w:pageBreakBefore w:val="0"/>
        <w:kinsoku/>
        <w:wordWrap/>
        <w:overflowPunct/>
        <w:topLinePunct w:val="0"/>
        <w:autoSpaceDE/>
        <w:autoSpaceDN/>
        <w:bidi w:val="0"/>
        <w:spacing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lang w:eastAsia="zh-CN"/>
        </w:rPr>
        <w:t>（</w:t>
      </w:r>
      <w:r>
        <w:rPr>
          <w:rFonts w:hint="eastAsia" w:ascii="仿宋" w:hAnsi="仿宋" w:cs="仿宋"/>
          <w:b/>
          <w:bCs/>
          <w:color w:val="auto"/>
          <w:sz w:val="32"/>
          <w:szCs w:val="32"/>
          <w:highlight w:val="none"/>
          <w:lang w:val="en-US" w:eastAsia="zh-CN"/>
        </w:rPr>
        <w:t>1</w:t>
      </w:r>
      <w:r>
        <w:rPr>
          <w:rFonts w:hint="eastAsia" w:ascii="仿宋" w:hAnsi="仿宋" w:cs="仿宋"/>
          <w:b/>
          <w:bCs/>
          <w:color w:val="auto"/>
          <w:sz w:val="32"/>
          <w:szCs w:val="32"/>
          <w:highlight w:val="none"/>
          <w:lang w:eastAsia="zh-CN"/>
        </w:rPr>
        <w:t>）</w:t>
      </w:r>
      <w:r>
        <w:rPr>
          <w:rFonts w:hint="eastAsia" w:ascii="仿宋" w:hAnsi="仿宋" w:cs="仿宋"/>
          <w:b/>
          <w:bCs/>
          <w:color w:val="auto"/>
          <w:sz w:val="32"/>
          <w:szCs w:val="32"/>
          <w:highlight w:val="none"/>
        </w:rPr>
        <w:t>资金管理</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6"/>
          <w:szCs w:val="36"/>
          <w:highlight w:val="none"/>
        </w:rPr>
      </w:pPr>
      <w:r>
        <w:rPr>
          <w:rFonts w:hint="eastAsia" w:ascii="仿宋" w:hAnsi="仿宋" w:cs="仿宋"/>
          <w:color w:val="auto"/>
          <w:sz w:val="32"/>
          <w:szCs w:val="32"/>
          <w:highlight w:val="none"/>
        </w:rPr>
        <w:fldChar w:fldCharType="begin"/>
      </w:r>
      <w:r>
        <w:rPr>
          <w:rFonts w:hint="eastAsia" w:ascii="仿宋" w:hAnsi="仿宋" w:cs="仿宋"/>
          <w:color w:val="auto"/>
          <w:sz w:val="32"/>
          <w:szCs w:val="32"/>
          <w:highlight w:val="none"/>
        </w:rPr>
        <w:instrText xml:space="preserve"> = 1 \* GB3 </w:instrText>
      </w:r>
      <w:r>
        <w:rPr>
          <w:rFonts w:hint="eastAsia" w:ascii="仿宋" w:hAnsi="仿宋" w:cs="仿宋"/>
          <w:color w:val="auto"/>
          <w:sz w:val="32"/>
          <w:szCs w:val="32"/>
          <w:highlight w:val="none"/>
        </w:rPr>
        <w:fldChar w:fldCharType="separate"/>
      </w:r>
      <w:r>
        <w:rPr>
          <w:rFonts w:hint="eastAsia" w:ascii="仿宋" w:hAnsi="仿宋" w:cs="仿宋"/>
          <w:color w:val="auto"/>
          <w:sz w:val="32"/>
          <w:szCs w:val="32"/>
          <w:highlight w:val="none"/>
        </w:rPr>
        <w:t>①</w:t>
      </w:r>
      <w:r>
        <w:rPr>
          <w:rFonts w:hint="eastAsia" w:ascii="仿宋" w:hAnsi="仿宋" w:cs="仿宋"/>
          <w:color w:val="auto"/>
          <w:sz w:val="32"/>
          <w:szCs w:val="32"/>
          <w:highlight w:val="none"/>
        </w:rPr>
        <w:fldChar w:fldCharType="end"/>
      </w:r>
      <w:r>
        <w:rPr>
          <w:rFonts w:hint="eastAsia" w:ascii="仿宋" w:hAnsi="仿宋" w:cs="仿宋"/>
          <w:color w:val="auto"/>
          <w:sz w:val="32"/>
          <w:szCs w:val="32"/>
          <w:highlight w:val="none"/>
        </w:rPr>
        <w:t>资金到位率</w:t>
      </w:r>
    </w:p>
    <w:p>
      <w:pPr>
        <w:pStyle w:val="14"/>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kern w:val="0"/>
          <w:sz w:val="32"/>
          <w:szCs w:val="32"/>
          <w:highlight w:val="none"/>
          <w:lang w:eastAsia="zh-CN"/>
        </w:rPr>
      </w:pPr>
      <w:r>
        <w:rPr>
          <w:rFonts w:hint="eastAsia" w:ascii="仿宋" w:hAnsi="仿宋" w:cs="仿宋"/>
          <w:color w:val="auto"/>
          <w:kern w:val="0"/>
          <w:sz w:val="32"/>
          <w:szCs w:val="32"/>
          <w:highlight w:val="none"/>
          <w:lang w:eastAsia="zh-CN"/>
        </w:rPr>
        <w:t>评价依据：《下陆区财政局关于批复2022年区直部门预算的通知》（黄下财预发〔2021〕3号）、预算一体化系统的指标查询。下陆区2022年市政维护道路及管网项目预算安排600万元，实际到位资金600万元，实际资金到位率100%。</w:t>
      </w:r>
    </w:p>
    <w:p>
      <w:pPr>
        <w:pStyle w:val="14"/>
        <w:pageBreakBefore w:val="0"/>
        <w:kinsoku/>
        <w:wordWrap/>
        <w:overflowPunct/>
        <w:topLinePunct w:val="0"/>
        <w:autoSpaceDE/>
        <w:autoSpaceDN/>
        <w:bidi w:val="0"/>
        <w:spacing w:line="560" w:lineRule="exact"/>
        <w:ind w:left="0" w:leftChars="0" w:firstLine="640" w:firstLineChars="200"/>
        <w:textAlignment w:val="auto"/>
        <w:rPr>
          <w:color w:val="auto"/>
          <w:highlight w:val="none"/>
          <w:lang w:val="en-US"/>
        </w:rPr>
      </w:pPr>
      <w:r>
        <w:rPr>
          <w:rFonts w:hint="eastAsia" w:ascii="仿宋" w:hAnsi="仿宋" w:cs="仿宋"/>
          <w:color w:val="auto"/>
          <w:kern w:val="0"/>
          <w:sz w:val="32"/>
          <w:szCs w:val="32"/>
          <w:highlight w:val="none"/>
          <w:lang w:eastAsia="zh-CN"/>
        </w:rPr>
        <w:t>标准分4分，得分4分。</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fldChar w:fldCharType="begin"/>
      </w:r>
      <w:r>
        <w:rPr>
          <w:rFonts w:hint="eastAsia" w:ascii="仿宋" w:hAnsi="仿宋" w:cs="仿宋"/>
          <w:color w:val="auto"/>
          <w:sz w:val="32"/>
          <w:szCs w:val="32"/>
          <w:highlight w:val="none"/>
        </w:rPr>
        <w:instrText xml:space="preserve"> = 2 \* GB3 </w:instrText>
      </w:r>
      <w:r>
        <w:rPr>
          <w:rFonts w:hint="eastAsia" w:ascii="仿宋" w:hAnsi="仿宋" w:cs="仿宋"/>
          <w:color w:val="auto"/>
          <w:sz w:val="32"/>
          <w:szCs w:val="32"/>
          <w:highlight w:val="none"/>
        </w:rPr>
        <w:fldChar w:fldCharType="separate"/>
      </w:r>
      <w:r>
        <w:rPr>
          <w:rFonts w:hint="eastAsia" w:ascii="仿宋" w:hAnsi="仿宋" w:cs="仿宋"/>
          <w:color w:val="auto"/>
          <w:sz w:val="32"/>
          <w:szCs w:val="32"/>
          <w:highlight w:val="none"/>
        </w:rPr>
        <w:t>②</w:t>
      </w:r>
      <w:r>
        <w:rPr>
          <w:rFonts w:hint="eastAsia" w:ascii="仿宋" w:hAnsi="仿宋" w:cs="仿宋"/>
          <w:color w:val="auto"/>
          <w:sz w:val="32"/>
          <w:szCs w:val="32"/>
          <w:highlight w:val="none"/>
        </w:rPr>
        <w:fldChar w:fldCharType="end"/>
      </w:r>
      <w:r>
        <w:rPr>
          <w:rFonts w:hint="eastAsia" w:ascii="仿宋" w:hAnsi="仿宋" w:cs="仿宋"/>
          <w:color w:val="auto"/>
          <w:sz w:val="32"/>
          <w:szCs w:val="32"/>
          <w:highlight w:val="none"/>
        </w:rPr>
        <w:t>预算执行率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kern w:val="0"/>
          <w:sz w:val="32"/>
          <w:szCs w:val="32"/>
          <w:highlight w:val="none"/>
          <w:lang w:eastAsia="zh-CN"/>
        </w:rPr>
      </w:pPr>
      <w:r>
        <w:rPr>
          <w:rFonts w:hint="eastAsia" w:ascii="仿宋" w:hAnsi="仿宋" w:cs="仿宋"/>
          <w:color w:val="auto"/>
          <w:kern w:val="0"/>
          <w:sz w:val="32"/>
          <w:szCs w:val="32"/>
          <w:highlight w:val="none"/>
          <w:lang w:eastAsia="zh-CN"/>
        </w:rPr>
        <w:t>评价依据：预算一体化系统的指标执行查询。下陆区2022年市政维护道路及管网项目实际到位资金600万元，实际支出440.40万元，预算执行率73.40%。</w:t>
      </w:r>
    </w:p>
    <w:p>
      <w:pPr>
        <w:pStyle w:val="2"/>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 w:hAnsi="仿宋" w:cs="仿宋"/>
          <w:color w:val="auto"/>
          <w:kern w:val="0"/>
          <w:sz w:val="32"/>
          <w:szCs w:val="32"/>
          <w:highlight w:val="none"/>
          <w:lang w:eastAsia="zh-CN"/>
        </w:rPr>
      </w:pPr>
      <w:r>
        <w:rPr>
          <w:rFonts w:hint="eastAsia" w:ascii="仿宋" w:hAnsi="仿宋" w:cs="仿宋"/>
          <w:color w:val="auto"/>
          <w:kern w:val="0"/>
          <w:sz w:val="32"/>
          <w:szCs w:val="32"/>
          <w:highlight w:val="none"/>
          <w:lang w:eastAsia="zh-CN"/>
        </w:rPr>
        <w:t>预算执行率偏低的主要原因：预算安排偏大，如：人员经费计划保障</w:t>
      </w:r>
      <w:r>
        <w:rPr>
          <w:rFonts w:hint="eastAsia" w:ascii="仿宋" w:hAnsi="仿宋" w:cs="仿宋"/>
          <w:color w:val="auto"/>
          <w:kern w:val="0"/>
          <w:sz w:val="32"/>
          <w:szCs w:val="32"/>
          <w:highlight w:val="none"/>
          <w:lang w:val="en-US" w:eastAsia="zh-CN"/>
        </w:rPr>
        <w:t>23人，实际保障20人；</w:t>
      </w:r>
      <w:r>
        <w:rPr>
          <w:rFonts w:hint="eastAsia" w:ascii="仿宋" w:hAnsi="仿宋" w:cs="仿宋"/>
          <w:color w:val="auto"/>
          <w:kern w:val="0"/>
          <w:sz w:val="32"/>
          <w:szCs w:val="32"/>
          <w:highlight w:val="none"/>
          <w:lang w:eastAsia="zh-CN"/>
        </w:rPr>
        <w:t>车辆运行费用预算安排</w:t>
      </w:r>
      <w:r>
        <w:rPr>
          <w:rFonts w:hint="eastAsia" w:ascii="仿宋" w:hAnsi="仿宋" w:cs="仿宋"/>
          <w:color w:val="auto"/>
          <w:kern w:val="0"/>
          <w:sz w:val="32"/>
          <w:szCs w:val="32"/>
          <w:highlight w:val="none"/>
          <w:lang w:val="en-US" w:eastAsia="zh-CN"/>
        </w:rPr>
        <w:t>35</w:t>
      </w:r>
      <w:r>
        <w:rPr>
          <w:rFonts w:hint="eastAsia" w:ascii="仿宋" w:hAnsi="仿宋" w:cs="仿宋"/>
          <w:color w:val="auto"/>
          <w:kern w:val="0"/>
          <w:sz w:val="32"/>
          <w:szCs w:val="32"/>
          <w:highlight w:val="none"/>
          <w:lang w:eastAsia="zh-CN"/>
        </w:rPr>
        <w:t>万元，实际支出</w:t>
      </w:r>
      <w:r>
        <w:rPr>
          <w:rFonts w:hint="eastAsia" w:ascii="仿宋" w:hAnsi="仿宋" w:cs="仿宋"/>
          <w:color w:val="auto"/>
          <w:kern w:val="0"/>
          <w:sz w:val="32"/>
          <w:szCs w:val="32"/>
          <w:highlight w:val="none"/>
          <w:lang w:val="en-US" w:eastAsia="zh-CN"/>
        </w:rPr>
        <w:t>10.82</w:t>
      </w:r>
      <w:r>
        <w:rPr>
          <w:rFonts w:hint="eastAsia" w:ascii="仿宋" w:hAnsi="仿宋" w:cs="仿宋"/>
          <w:color w:val="auto"/>
          <w:kern w:val="0"/>
          <w:sz w:val="32"/>
          <w:szCs w:val="32"/>
          <w:highlight w:val="none"/>
          <w:lang w:eastAsia="zh-CN"/>
        </w:rPr>
        <w:t>万元</w:t>
      </w:r>
      <w:r>
        <w:rPr>
          <w:rFonts w:hint="eastAsia" w:ascii="仿宋" w:hAnsi="仿宋" w:cs="仿宋"/>
          <w:color w:val="auto"/>
          <w:kern w:val="0"/>
          <w:sz w:val="32"/>
          <w:szCs w:val="32"/>
          <w:highlight w:val="none"/>
          <w:lang w:val="en-US" w:eastAsia="zh-CN"/>
        </w:rPr>
        <w:t>(2022年全年未见车辆油料费用）</w:t>
      </w:r>
      <w:r>
        <w:rPr>
          <w:rFonts w:hint="eastAsia" w:ascii="仿宋" w:hAnsi="仿宋" w:cs="仿宋"/>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cs="仿宋"/>
          <w:color w:val="auto"/>
          <w:kern w:val="0"/>
          <w:sz w:val="32"/>
          <w:szCs w:val="32"/>
          <w:highlight w:val="none"/>
          <w:lang w:eastAsia="zh-CN"/>
        </w:rPr>
        <w:t>标准分5分，扣分1.33分，得分3.67分。</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fldChar w:fldCharType="begin"/>
      </w:r>
      <w:r>
        <w:rPr>
          <w:rFonts w:hint="eastAsia" w:ascii="仿宋" w:hAnsi="仿宋" w:cs="仿宋"/>
          <w:color w:val="auto"/>
          <w:sz w:val="32"/>
          <w:szCs w:val="32"/>
          <w:highlight w:val="none"/>
        </w:rPr>
        <w:instrText xml:space="preserve"> = 3 \* GB3 </w:instrText>
      </w:r>
      <w:r>
        <w:rPr>
          <w:rFonts w:hint="eastAsia" w:ascii="仿宋" w:hAnsi="仿宋" w:cs="仿宋"/>
          <w:color w:val="auto"/>
          <w:sz w:val="32"/>
          <w:szCs w:val="32"/>
          <w:highlight w:val="none"/>
        </w:rPr>
        <w:fldChar w:fldCharType="separate"/>
      </w:r>
      <w:r>
        <w:rPr>
          <w:rFonts w:hint="eastAsia" w:ascii="仿宋" w:hAnsi="仿宋" w:cs="仿宋"/>
          <w:color w:val="auto"/>
          <w:sz w:val="32"/>
          <w:szCs w:val="32"/>
          <w:highlight w:val="none"/>
        </w:rPr>
        <w:t>③</w:t>
      </w:r>
      <w:r>
        <w:rPr>
          <w:rFonts w:hint="eastAsia" w:ascii="仿宋" w:hAnsi="仿宋" w:cs="仿宋"/>
          <w:color w:val="auto"/>
          <w:sz w:val="32"/>
          <w:szCs w:val="32"/>
          <w:highlight w:val="none"/>
        </w:rPr>
        <w:fldChar w:fldCharType="end"/>
      </w:r>
      <w:r>
        <w:rPr>
          <w:rFonts w:hint="eastAsia" w:ascii="仿宋" w:hAnsi="仿宋" w:cs="仿宋"/>
          <w:color w:val="auto"/>
          <w:sz w:val="32"/>
          <w:szCs w:val="32"/>
          <w:highlight w:val="none"/>
        </w:rPr>
        <w:t>资金使用合规性</w:t>
      </w:r>
    </w:p>
    <w:p>
      <w:pPr>
        <w:pStyle w:val="23"/>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 w:hAnsi="仿宋" w:cs="仿宋"/>
          <w:color w:val="auto"/>
          <w:sz w:val="32"/>
          <w:szCs w:val="32"/>
          <w:highlight w:val="none"/>
          <w:lang w:eastAsia="zh-CN"/>
        </w:rPr>
      </w:pPr>
      <w:r>
        <w:rPr>
          <w:rFonts w:hint="eastAsia" w:ascii="仿宋" w:hAnsi="仿宋" w:cs="仿宋"/>
          <w:color w:val="auto"/>
          <w:sz w:val="32"/>
          <w:szCs w:val="32"/>
          <w:highlight w:val="none"/>
          <w:lang w:eastAsia="zh-CN"/>
        </w:rPr>
        <w:t>检查资金使用情况，我们认为：资金使用符合国家财经法规和财务管理制度以及有关专项资金管理办法的规定，资金的拨付有完整的审批程序和手续，资金使用符合项目预算批复或合同规定的用途，不存在截留、挤占、挪用、虚列支出等情况。</w:t>
      </w:r>
    </w:p>
    <w:p>
      <w:pPr>
        <w:pStyle w:val="23"/>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color w:val="auto"/>
          <w:highlight w:val="none"/>
        </w:rPr>
      </w:pPr>
      <w:r>
        <w:rPr>
          <w:rFonts w:hint="eastAsia" w:ascii="仿宋" w:hAnsi="仿宋" w:cs="仿宋"/>
          <w:color w:val="auto"/>
          <w:sz w:val="32"/>
          <w:szCs w:val="32"/>
          <w:highlight w:val="none"/>
          <w:lang w:eastAsia="zh-CN"/>
        </w:rPr>
        <w:t>标准分4分，得分4分</w:t>
      </w:r>
      <w:r>
        <w:rPr>
          <w:rFonts w:hint="eastAsia" w:ascii="仿宋" w:hAnsi="仿宋" w:cs="仿宋"/>
          <w:color w:val="auto"/>
          <w:sz w:val="32"/>
          <w:szCs w:val="32"/>
          <w:highlight w:val="none"/>
        </w:rPr>
        <w:t>。</w:t>
      </w:r>
    </w:p>
    <w:p>
      <w:pPr>
        <w:pageBreakBefore w:val="0"/>
        <w:widowControl/>
        <w:kinsoku/>
        <w:wordWrap/>
        <w:overflowPunct/>
        <w:topLinePunct w:val="0"/>
        <w:autoSpaceDE/>
        <w:autoSpaceDN/>
        <w:bidi w:val="0"/>
        <w:spacing w:line="560" w:lineRule="exact"/>
        <w:ind w:left="0" w:leftChars="0" w:firstLine="643" w:firstLineChars="200"/>
        <w:jc w:val="left"/>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（2）</w:t>
      </w:r>
      <w:r>
        <w:rPr>
          <w:rFonts w:hint="eastAsia" w:ascii="仿宋" w:hAnsi="仿宋" w:cs="仿宋"/>
          <w:b/>
          <w:color w:val="auto"/>
          <w:sz w:val="32"/>
          <w:szCs w:val="32"/>
          <w:highlight w:val="none"/>
        </w:rPr>
        <w:t>组织实施</w:t>
      </w:r>
    </w:p>
    <w:p>
      <w:pPr>
        <w:pageBreakBefore w:val="0"/>
        <w:tabs>
          <w:tab w:val="left" w:pos="1343"/>
        </w:tabs>
        <w:kinsoku/>
        <w:wordWrap/>
        <w:overflowPunct/>
        <w:topLinePunct w:val="0"/>
        <w:autoSpaceDE/>
        <w:autoSpaceDN/>
        <w:bidi w:val="0"/>
        <w:spacing w:line="560" w:lineRule="exact"/>
        <w:ind w:left="0" w:leftChars="0" w:firstLine="640" w:firstLineChars="200"/>
        <w:jc w:val="left"/>
        <w:textAlignment w:val="auto"/>
        <w:rPr>
          <w:rFonts w:ascii="仿宋" w:hAnsi="仿宋" w:cs="仿宋"/>
          <w:color w:val="auto"/>
          <w:sz w:val="32"/>
          <w:szCs w:val="32"/>
          <w:highlight w:val="none"/>
        </w:rPr>
      </w:pPr>
      <w:r>
        <w:rPr>
          <w:rFonts w:hint="eastAsia" w:ascii="仿宋" w:hAnsi="仿宋" w:cs="仿宋"/>
          <w:color w:val="auto"/>
          <w:sz w:val="32"/>
          <w:szCs w:val="32"/>
          <w:highlight w:val="none"/>
        </w:rPr>
        <w:fldChar w:fldCharType="begin"/>
      </w:r>
      <w:r>
        <w:rPr>
          <w:rFonts w:hint="eastAsia" w:ascii="仿宋" w:hAnsi="仿宋" w:cs="仿宋"/>
          <w:color w:val="auto"/>
          <w:sz w:val="32"/>
          <w:szCs w:val="32"/>
          <w:highlight w:val="none"/>
        </w:rPr>
        <w:instrText xml:space="preserve"> = 1 \* GB3 \* MERGEFORMAT </w:instrText>
      </w:r>
      <w:r>
        <w:rPr>
          <w:rFonts w:hint="eastAsia" w:ascii="仿宋" w:hAnsi="仿宋" w:cs="仿宋"/>
          <w:color w:val="auto"/>
          <w:sz w:val="32"/>
          <w:szCs w:val="32"/>
          <w:highlight w:val="none"/>
        </w:rPr>
        <w:fldChar w:fldCharType="separate"/>
      </w:r>
      <w:r>
        <w:rPr>
          <w:rFonts w:hint="eastAsia" w:ascii="仿宋" w:hAnsi="仿宋" w:cs="仿宋"/>
          <w:color w:val="auto"/>
          <w:sz w:val="32"/>
          <w:szCs w:val="32"/>
          <w:highlight w:val="none"/>
        </w:rPr>
        <w:t>①</w:t>
      </w:r>
      <w:r>
        <w:rPr>
          <w:rFonts w:hint="eastAsia" w:ascii="仿宋" w:hAnsi="仿宋" w:cs="仿宋"/>
          <w:color w:val="auto"/>
          <w:sz w:val="32"/>
          <w:szCs w:val="32"/>
          <w:highlight w:val="none"/>
        </w:rPr>
        <w:fldChar w:fldCharType="end"/>
      </w:r>
      <w:r>
        <w:rPr>
          <w:rFonts w:hint="eastAsia" w:ascii="仿宋" w:hAnsi="仿宋" w:cs="仿宋"/>
          <w:color w:val="auto"/>
          <w:sz w:val="32"/>
          <w:szCs w:val="32"/>
          <w:highlight w:val="none"/>
        </w:rPr>
        <w:t>管理制度健全性</w:t>
      </w:r>
    </w:p>
    <w:p>
      <w:pPr>
        <w:pStyle w:val="23"/>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jc w:val="left"/>
        <w:textAlignment w:val="auto"/>
        <w:rPr>
          <w:rFonts w:hint="eastAsia" w:ascii="仿宋" w:hAnsi="仿宋" w:cs="仿宋"/>
          <w:color w:val="auto"/>
          <w:sz w:val="32"/>
          <w:szCs w:val="32"/>
          <w:highlight w:val="none"/>
          <w:lang w:eastAsia="zh-CN"/>
        </w:rPr>
      </w:pPr>
      <w:r>
        <w:rPr>
          <w:rFonts w:hint="eastAsia" w:ascii="仿宋" w:hAnsi="仿宋" w:cs="仿宋"/>
          <w:color w:val="auto"/>
          <w:sz w:val="32"/>
          <w:szCs w:val="32"/>
          <w:highlight w:val="none"/>
          <w:lang w:eastAsia="zh-CN"/>
        </w:rPr>
        <w:t>项目已制定或具有相应的财务和业务管理制度，管理制度合法、合规、完整，基本有效。</w:t>
      </w:r>
    </w:p>
    <w:p>
      <w:pPr>
        <w:pStyle w:val="23"/>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jc w:val="left"/>
        <w:textAlignment w:val="auto"/>
        <w:rPr>
          <w:rFonts w:ascii="仿宋" w:hAnsi="仿宋" w:cs="仿宋"/>
          <w:color w:val="auto"/>
          <w:sz w:val="32"/>
          <w:szCs w:val="32"/>
          <w:highlight w:val="none"/>
        </w:rPr>
      </w:pPr>
      <w:r>
        <w:rPr>
          <w:rFonts w:hint="eastAsia" w:ascii="仿宋" w:hAnsi="仿宋" w:cs="仿宋"/>
          <w:color w:val="auto"/>
          <w:sz w:val="32"/>
          <w:szCs w:val="32"/>
          <w:highlight w:val="none"/>
          <w:lang w:eastAsia="zh-CN"/>
        </w:rPr>
        <w:t>标准分2分，得分2分</w:t>
      </w:r>
      <w:r>
        <w:rPr>
          <w:rFonts w:hint="eastAsia" w:ascii="仿宋" w:hAnsi="仿宋" w:cs="仿宋"/>
          <w:color w:val="auto"/>
          <w:sz w:val="32"/>
          <w:szCs w:val="32"/>
          <w:highlight w:val="none"/>
        </w:rPr>
        <w:t>。</w:t>
      </w:r>
    </w:p>
    <w:p>
      <w:pPr>
        <w:pStyle w:val="23"/>
        <w:pageBreakBefore w:val="0"/>
        <w:kinsoku/>
        <w:wordWrap/>
        <w:overflowPunct/>
        <w:topLinePunct w:val="0"/>
        <w:autoSpaceDE/>
        <w:autoSpaceDN/>
        <w:bidi w:val="0"/>
        <w:spacing w:after="0" w:line="560" w:lineRule="exact"/>
        <w:ind w:left="0" w:leftChars="0" w:firstLine="640" w:firstLineChars="200"/>
        <w:jc w:val="left"/>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fldChar w:fldCharType="begin"/>
      </w:r>
      <w:r>
        <w:rPr>
          <w:rFonts w:hint="eastAsia" w:ascii="仿宋" w:hAnsi="仿宋" w:cs="仿宋"/>
          <w:color w:val="auto"/>
          <w:sz w:val="32"/>
          <w:szCs w:val="32"/>
          <w:highlight w:val="none"/>
        </w:rPr>
        <w:instrText xml:space="preserve"> = 2 \* GB3 \* MERGEFORMAT </w:instrText>
      </w:r>
      <w:r>
        <w:rPr>
          <w:rFonts w:hint="eastAsia" w:ascii="仿宋" w:hAnsi="仿宋" w:cs="仿宋"/>
          <w:color w:val="auto"/>
          <w:sz w:val="32"/>
          <w:szCs w:val="32"/>
          <w:highlight w:val="none"/>
        </w:rPr>
        <w:fldChar w:fldCharType="separate"/>
      </w:r>
      <w:r>
        <w:rPr>
          <w:rFonts w:hint="eastAsia" w:ascii="仿宋" w:hAnsi="仿宋" w:cs="仿宋"/>
          <w:color w:val="auto"/>
          <w:sz w:val="32"/>
          <w:szCs w:val="32"/>
          <w:highlight w:val="none"/>
        </w:rPr>
        <w:t>②</w:t>
      </w:r>
      <w:r>
        <w:rPr>
          <w:rFonts w:hint="eastAsia" w:ascii="仿宋" w:hAnsi="仿宋" w:cs="仿宋"/>
          <w:color w:val="auto"/>
          <w:sz w:val="32"/>
          <w:szCs w:val="32"/>
          <w:highlight w:val="none"/>
        </w:rPr>
        <w:fldChar w:fldCharType="end"/>
      </w:r>
      <w:r>
        <w:rPr>
          <w:rFonts w:hint="eastAsia" w:ascii="仿宋" w:hAnsi="仿宋" w:cs="仿宋"/>
          <w:color w:val="auto"/>
          <w:sz w:val="32"/>
          <w:szCs w:val="32"/>
          <w:highlight w:val="none"/>
        </w:rPr>
        <w:t>制度执行有效性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检查财务资料（2022年10月60#凭证、11月64#凭证）发现：2021年3月因花坛防护网清理不及时，导致市民卢伟受伤，2022年8月市中级人民法院二审判赔2.81万元，执行款在本项目列支。2022年5月因市妇幼医院门前排水井盖松动，导致市民明靓受伤，经省信访局督办，区城管执法局协议赔偿1.18万元，赔偿款在本项目列支。</w:t>
      </w:r>
      <w:r>
        <w:rPr>
          <w:rFonts w:hint="eastAsia" w:ascii="仿宋" w:hAnsi="仿宋" w:cs="仿宋"/>
          <w:color w:val="auto"/>
          <w:sz w:val="32"/>
          <w:szCs w:val="32"/>
          <w:highlight w:val="none"/>
        </w:rPr>
        <w:t>项目实施的人员条件、场地设备、信息支撑等落实不到位</w:t>
      </w:r>
      <w:r>
        <w:rPr>
          <w:rFonts w:hint="eastAsia" w:ascii="仿宋" w:hAnsi="仿宋" w:cs="仿宋"/>
          <w:color w:val="auto"/>
          <w:sz w:val="32"/>
          <w:szCs w:val="32"/>
          <w:highlight w:val="none"/>
          <w:lang w:eastAsia="zh-CN"/>
        </w:rPr>
        <w:t>，</w:t>
      </w:r>
      <w:r>
        <w:rPr>
          <w:rFonts w:hint="eastAsia" w:ascii="仿宋" w:hAnsi="仿宋" w:cs="仿宋"/>
          <w:bCs/>
          <w:color w:val="auto"/>
          <w:sz w:val="32"/>
          <w:szCs w:val="32"/>
          <w:highlight w:val="none"/>
          <w:lang w:val="en-US" w:eastAsia="zh-CN"/>
        </w:rPr>
        <w:t>公共安全事故偶有发生</w:t>
      </w:r>
      <w:r>
        <w:rPr>
          <w:rFonts w:hint="eastAsia" w:ascii="仿宋" w:hAnsi="仿宋" w:cs="仿宋"/>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标准分8分，扣分2分，得分6分。</w:t>
      </w:r>
    </w:p>
    <w:p>
      <w:pPr>
        <w:pStyle w:val="2"/>
        <w:pageBreakBefore w:val="0"/>
        <w:tabs>
          <w:tab w:val="left" w:pos="1343"/>
        </w:tabs>
        <w:kinsoku/>
        <w:wordWrap/>
        <w:overflowPunct/>
        <w:topLinePunct w:val="0"/>
        <w:autoSpaceDE/>
        <w:autoSpaceDN/>
        <w:bidi w:val="0"/>
        <w:spacing w:before="0" w:after="0"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3、项目产出情况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绩效评价人员从产出数量、产出质量、产出时效</w:t>
      </w:r>
      <w:r>
        <w:rPr>
          <w:rFonts w:hint="eastAsia" w:ascii="仿宋" w:hAnsi="仿宋" w:cs="仿宋"/>
          <w:color w:val="auto"/>
          <w:sz w:val="32"/>
          <w:szCs w:val="32"/>
          <w:highlight w:val="none"/>
          <w:lang w:val="en-US" w:eastAsia="zh-CN"/>
        </w:rPr>
        <w:t>3</w:t>
      </w:r>
      <w:r>
        <w:rPr>
          <w:rFonts w:hint="eastAsia" w:ascii="仿宋" w:hAnsi="仿宋" w:cs="仿宋"/>
          <w:color w:val="auto"/>
          <w:sz w:val="32"/>
          <w:szCs w:val="32"/>
          <w:highlight w:val="none"/>
        </w:rPr>
        <w:t>个方面对项目的产出情况进行了分析、考评，具体如下：</w:t>
      </w:r>
    </w:p>
    <w:p>
      <w:pPr>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b/>
          <w:bCs/>
          <w:color w:val="auto"/>
          <w:sz w:val="32"/>
          <w:szCs w:val="32"/>
          <w:highlight w:val="none"/>
          <w:lang w:eastAsia="zh-CN"/>
        </w:rPr>
      </w:pPr>
      <w:r>
        <w:rPr>
          <w:rFonts w:hint="eastAsia" w:ascii="仿宋" w:hAnsi="仿宋" w:cs="仿宋"/>
          <w:b/>
          <w:bCs/>
          <w:color w:val="auto"/>
          <w:sz w:val="32"/>
          <w:szCs w:val="32"/>
          <w:highlight w:val="none"/>
        </w:rPr>
        <w:t>（1）</w:t>
      </w:r>
      <w:r>
        <w:rPr>
          <w:rFonts w:hint="eastAsia" w:ascii="仿宋" w:hAnsi="仿宋" w:cs="仿宋"/>
          <w:b/>
          <w:bCs/>
          <w:color w:val="auto"/>
          <w:sz w:val="32"/>
          <w:szCs w:val="32"/>
          <w:highlight w:val="none"/>
          <w:lang w:eastAsia="zh-CN"/>
        </w:rPr>
        <w:t>产出数量</w:t>
      </w:r>
    </w:p>
    <w:p>
      <w:pPr>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ascii="仿宋" w:hAnsi="仿宋" w:cs="仿宋"/>
          <w:b w:val="0"/>
          <w:bCs w:val="0"/>
          <w:color w:val="auto"/>
          <w:sz w:val="32"/>
          <w:szCs w:val="32"/>
          <w:highlight w:val="none"/>
        </w:rPr>
      </w:pPr>
      <w:r>
        <w:rPr>
          <w:rFonts w:hint="eastAsia" w:ascii="仿宋" w:hAnsi="仿宋" w:cs="仿宋"/>
          <w:b/>
          <w:bCs/>
          <w:color w:val="auto"/>
          <w:sz w:val="32"/>
          <w:szCs w:val="32"/>
          <w:highlight w:val="none"/>
        </w:rPr>
        <w:fldChar w:fldCharType="begin"/>
      </w:r>
      <w:r>
        <w:rPr>
          <w:rFonts w:hint="eastAsia" w:ascii="仿宋" w:hAnsi="仿宋" w:cs="仿宋"/>
          <w:b/>
          <w:bCs/>
          <w:color w:val="auto"/>
          <w:sz w:val="32"/>
          <w:szCs w:val="32"/>
          <w:highlight w:val="none"/>
        </w:rPr>
        <w:instrText xml:space="preserve"> = 1 \* GB3 \* MERGEFORMAT </w:instrText>
      </w:r>
      <w:r>
        <w:rPr>
          <w:rFonts w:hint="eastAsia" w:ascii="仿宋" w:hAnsi="仿宋" w:cs="仿宋"/>
          <w:b/>
          <w:bCs/>
          <w:color w:val="auto"/>
          <w:sz w:val="32"/>
          <w:szCs w:val="32"/>
          <w:highlight w:val="none"/>
        </w:rPr>
        <w:fldChar w:fldCharType="separate"/>
      </w:r>
      <w:r>
        <w:rPr>
          <w:color w:val="auto"/>
          <w:highlight w:val="none"/>
        </w:rPr>
        <w:t>①</w:t>
      </w:r>
      <w:r>
        <w:rPr>
          <w:rFonts w:hint="eastAsia" w:ascii="仿宋" w:hAnsi="仿宋" w:cs="仿宋"/>
          <w:b/>
          <w:bCs/>
          <w:color w:val="auto"/>
          <w:sz w:val="32"/>
          <w:szCs w:val="32"/>
          <w:highlight w:val="none"/>
        </w:rPr>
        <w:fldChar w:fldCharType="end"/>
      </w:r>
      <w:r>
        <w:rPr>
          <w:rFonts w:hint="eastAsia" w:ascii="仿宋" w:hAnsi="仿宋" w:cs="仿宋"/>
          <w:b w:val="0"/>
          <w:bCs w:val="0"/>
          <w:color w:val="auto"/>
          <w:sz w:val="32"/>
          <w:szCs w:val="32"/>
          <w:highlight w:val="none"/>
        </w:rPr>
        <w:t>环卫园林经费保障人数实际完成率</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《下陆区城市管理执法局2022年部门预算公开》显示：环卫园林经费保障人数计划23人。检查财务资料（2022年6月47#凭证和6月48#凭证）可以确认</w:t>
      </w:r>
      <w:r>
        <w:rPr>
          <w:rFonts w:hint="eastAsia" w:ascii="仿宋" w:hAnsi="仿宋" w:cs="仿宋"/>
          <w:color w:val="auto"/>
          <w:sz w:val="32"/>
          <w:szCs w:val="32"/>
          <w:highlight w:val="none"/>
          <w:lang w:eastAsia="zh-CN"/>
        </w:rPr>
        <w:t>：</w:t>
      </w:r>
      <w:r>
        <w:rPr>
          <w:rFonts w:hint="eastAsia" w:ascii="仿宋" w:hAnsi="仿宋" w:cs="仿宋"/>
          <w:color w:val="auto"/>
          <w:sz w:val="32"/>
          <w:szCs w:val="32"/>
          <w:highlight w:val="none"/>
        </w:rPr>
        <w:t>正式工人数15人，同工同酬人数5人，经费保障人数合计20人。</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经费保障人数实际完成率86.96%；；</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w:t>
      </w:r>
      <w:r>
        <w:rPr>
          <w:rFonts w:hint="eastAsia" w:ascii="仿宋" w:hAnsi="仿宋" w:cs="仿宋"/>
          <w:color w:val="auto"/>
          <w:sz w:val="32"/>
          <w:szCs w:val="32"/>
          <w:highlight w:val="none"/>
          <w:lang w:eastAsia="zh-CN"/>
        </w:rPr>
        <w:t>，扣分</w:t>
      </w:r>
      <w:r>
        <w:rPr>
          <w:rFonts w:hint="eastAsia" w:ascii="仿宋" w:hAnsi="仿宋" w:cs="仿宋"/>
          <w:color w:val="auto"/>
          <w:sz w:val="32"/>
          <w:szCs w:val="32"/>
          <w:highlight w:val="none"/>
          <w:lang w:val="en-US" w:eastAsia="zh-CN"/>
        </w:rPr>
        <w:t>0.65分，</w:t>
      </w:r>
      <w:r>
        <w:rPr>
          <w:rFonts w:hint="eastAsia" w:ascii="仿宋" w:hAnsi="仿宋" w:cs="仿宋"/>
          <w:color w:val="auto"/>
          <w:sz w:val="32"/>
          <w:szCs w:val="32"/>
          <w:highlight w:val="none"/>
        </w:rPr>
        <w:t>得分</w:t>
      </w:r>
      <w:r>
        <w:rPr>
          <w:rFonts w:hint="eastAsia" w:ascii="仿宋" w:hAnsi="仿宋" w:cs="仿宋"/>
          <w:color w:val="auto"/>
          <w:sz w:val="32"/>
          <w:szCs w:val="32"/>
          <w:highlight w:val="none"/>
          <w:lang w:val="en-US" w:eastAsia="zh-CN"/>
        </w:rPr>
        <w:t>4.35</w:t>
      </w:r>
      <w:r>
        <w:rPr>
          <w:rFonts w:hint="eastAsia" w:ascii="仿宋" w:hAnsi="仿宋" w:cs="仿宋"/>
          <w:color w:val="auto"/>
          <w:sz w:val="32"/>
          <w:szCs w:val="32"/>
          <w:highlight w:val="none"/>
        </w:rPr>
        <w:t>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fldChar w:fldCharType="begin"/>
      </w:r>
      <w:r>
        <w:rPr>
          <w:rFonts w:hint="eastAsia" w:ascii="仿宋" w:hAnsi="仿宋" w:cs="仿宋"/>
          <w:color w:val="auto"/>
          <w:sz w:val="32"/>
          <w:szCs w:val="32"/>
          <w:highlight w:val="none"/>
        </w:rPr>
        <w:instrText xml:space="preserve"> = 2 \* GB3 \* MERGEFORMAT </w:instrText>
      </w:r>
      <w:r>
        <w:rPr>
          <w:rFonts w:hint="eastAsia" w:ascii="仿宋" w:hAnsi="仿宋" w:cs="仿宋"/>
          <w:color w:val="auto"/>
          <w:sz w:val="32"/>
          <w:szCs w:val="32"/>
          <w:highlight w:val="none"/>
        </w:rPr>
        <w:fldChar w:fldCharType="separate"/>
      </w:r>
      <w:r>
        <w:rPr>
          <w:color w:val="auto"/>
          <w:highlight w:val="none"/>
        </w:rPr>
        <w:t>②</w:t>
      </w:r>
      <w:r>
        <w:rPr>
          <w:rFonts w:hint="eastAsia" w:ascii="仿宋" w:hAnsi="仿宋" w:cs="仿宋"/>
          <w:color w:val="auto"/>
          <w:sz w:val="32"/>
          <w:szCs w:val="32"/>
          <w:highlight w:val="none"/>
        </w:rPr>
        <w:fldChar w:fldCharType="end"/>
      </w:r>
      <w:r>
        <w:rPr>
          <w:rFonts w:hint="eastAsia" w:ascii="仿宋" w:hAnsi="仿宋" w:cs="仿宋"/>
          <w:b w:val="0"/>
          <w:bCs w:val="0"/>
          <w:color w:val="auto"/>
          <w:sz w:val="32"/>
          <w:szCs w:val="32"/>
          <w:highlight w:val="none"/>
        </w:rPr>
        <w:t>城市运行管理服务平台任务处置实际完成率</w:t>
      </w:r>
    </w:p>
    <w:p>
      <w:pPr>
        <w:pStyle w:val="2"/>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cs="仿宋"/>
          <w:color w:val="auto"/>
          <w:sz w:val="32"/>
          <w:szCs w:val="32"/>
          <w:highlight w:val="none"/>
        </w:rPr>
        <w:t>《黄石市城市运行管理服务平台》显示：团城山城维2022年度平台下达任务应处置数4038件，已处置数4020件</w:t>
      </w:r>
      <w:r>
        <w:rPr>
          <w:rFonts w:hint="eastAsia" w:ascii="仿宋" w:hAnsi="仿宋" w:cs="仿宋"/>
          <w:color w:val="auto"/>
          <w:sz w:val="32"/>
          <w:szCs w:val="32"/>
          <w:highlight w:val="none"/>
          <w:lang w:eastAsia="zh-CN"/>
        </w:rPr>
        <w:t>，</w:t>
      </w:r>
      <w:r>
        <w:rPr>
          <w:rFonts w:hint="eastAsia" w:ascii="仿宋" w:hAnsi="仿宋" w:cs="仿宋"/>
          <w:color w:val="auto"/>
          <w:sz w:val="32"/>
          <w:szCs w:val="32"/>
          <w:highlight w:val="none"/>
        </w:rPr>
        <w:t>实际完成率99.55%</w:t>
      </w:r>
      <w:r>
        <w:rPr>
          <w:rFonts w:hint="eastAsia" w:ascii="仿宋" w:hAnsi="仿宋" w:cs="仿宋"/>
          <w:color w:val="auto"/>
          <w:sz w:val="32"/>
          <w:szCs w:val="32"/>
          <w:highlight w:val="none"/>
          <w:lang w:eastAsia="zh-CN"/>
        </w:rPr>
        <w:t>。</w:t>
      </w:r>
    </w:p>
    <w:p>
      <w:pPr>
        <w:pStyle w:val="2"/>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分，得分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w:t>
      </w:r>
    </w:p>
    <w:p>
      <w:pPr>
        <w:pageBreakBefore w:val="0"/>
        <w:kinsoku/>
        <w:wordWrap/>
        <w:overflowPunct/>
        <w:topLinePunct w:val="0"/>
        <w:autoSpaceDE/>
        <w:autoSpaceDN/>
        <w:bidi w:val="0"/>
        <w:spacing w:line="560" w:lineRule="exact"/>
        <w:ind w:left="0" w:leftChars="0" w:firstLine="643" w:firstLineChars="200"/>
        <w:textAlignment w:val="auto"/>
        <w:rPr>
          <w:rFonts w:hint="eastAsia" w:ascii="仿宋" w:hAnsi="仿宋" w:eastAsia="仿宋" w:cs="仿宋"/>
          <w:b/>
          <w:bCs/>
          <w:color w:val="auto"/>
          <w:sz w:val="32"/>
          <w:szCs w:val="32"/>
          <w:highlight w:val="none"/>
          <w:lang w:eastAsia="zh-CN"/>
        </w:rPr>
      </w:pPr>
      <w:r>
        <w:rPr>
          <w:rFonts w:hint="eastAsia" w:ascii="仿宋" w:hAnsi="仿宋" w:cs="仿宋"/>
          <w:b/>
          <w:bCs/>
          <w:color w:val="auto"/>
          <w:sz w:val="32"/>
          <w:szCs w:val="32"/>
          <w:highlight w:val="none"/>
        </w:rPr>
        <w:t>（2）</w:t>
      </w:r>
      <w:r>
        <w:rPr>
          <w:rFonts w:hint="eastAsia" w:ascii="仿宋" w:hAnsi="仿宋" w:cs="仿宋"/>
          <w:b/>
          <w:bCs/>
          <w:color w:val="auto"/>
          <w:sz w:val="32"/>
          <w:szCs w:val="32"/>
          <w:highlight w:val="none"/>
          <w:lang w:eastAsia="zh-CN"/>
        </w:rPr>
        <w:t>产出质量</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 w:hAnsi="仿宋" w:cs="仿宋"/>
          <w:b w:val="0"/>
          <w:bCs w:val="0"/>
          <w:color w:val="auto"/>
          <w:sz w:val="32"/>
          <w:szCs w:val="32"/>
          <w:highlight w:val="none"/>
        </w:rPr>
      </w:pPr>
      <w:r>
        <w:rPr>
          <w:rFonts w:hint="eastAsia" w:ascii="仿宋" w:hAnsi="仿宋" w:cs="仿宋"/>
          <w:b w:val="0"/>
          <w:bCs w:val="0"/>
          <w:color w:val="auto"/>
          <w:sz w:val="32"/>
          <w:szCs w:val="32"/>
          <w:highlight w:val="none"/>
        </w:rPr>
        <w:t>城市运行管理服务平台任务处置实际达标率</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《黄石市城市运行管理服务平台》未显示任务处置的质量达标信息，结合财务资料中的安全事故责任赔偿，本次绩效评价，暂按90%赋分。</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10</w:t>
      </w:r>
      <w:r>
        <w:rPr>
          <w:rFonts w:hint="eastAsia" w:ascii="仿宋" w:hAnsi="仿宋" w:cs="仿宋"/>
          <w:color w:val="auto"/>
          <w:sz w:val="32"/>
          <w:szCs w:val="32"/>
          <w:highlight w:val="none"/>
        </w:rPr>
        <w:t>分，</w:t>
      </w:r>
      <w:r>
        <w:rPr>
          <w:rFonts w:hint="eastAsia" w:ascii="仿宋" w:hAnsi="仿宋" w:cs="仿宋"/>
          <w:color w:val="auto"/>
          <w:sz w:val="32"/>
          <w:szCs w:val="32"/>
          <w:highlight w:val="none"/>
          <w:lang w:eastAsia="zh-CN"/>
        </w:rPr>
        <w:t>扣分</w:t>
      </w:r>
      <w:r>
        <w:rPr>
          <w:rFonts w:hint="eastAsia" w:ascii="仿宋" w:hAnsi="仿宋" w:cs="仿宋"/>
          <w:color w:val="auto"/>
          <w:sz w:val="32"/>
          <w:szCs w:val="32"/>
          <w:highlight w:val="none"/>
          <w:lang w:val="en-US" w:eastAsia="zh-CN"/>
        </w:rPr>
        <w:t>1分，</w:t>
      </w:r>
      <w:r>
        <w:rPr>
          <w:rFonts w:hint="eastAsia" w:ascii="仿宋" w:hAnsi="仿宋" w:cs="仿宋"/>
          <w:color w:val="auto"/>
          <w:sz w:val="32"/>
          <w:szCs w:val="32"/>
          <w:highlight w:val="none"/>
        </w:rPr>
        <w:t>得分</w:t>
      </w:r>
      <w:r>
        <w:rPr>
          <w:rFonts w:hint="eastAsia" w:ascii="仿宋" w:hAnsi="仿宋" w:cs="仿宋"/>
          <w:color w:val="auto"/>
          <w:sz w:val="32"/>
          <w:szCs w:val="32"/>
          <w:highlight w:val="none"/>
          <w:lang w:val="en-US" w:eastAsia="zh-CN"/>
        </w:rPr>
        <w:t>9</w:t>
      </w:r>
      <w:r>
        <w:rPr>
          <w:rFonts w:hint="eastAsia" w:ascii="仿宋" w:hAnsi="仿宋" w:cs="仿宋"/>
          <w:color w:val="auto"/>
          <w:sz w:val="32"/>
          <w:szCs w:val="32"/>
          <w:highlight w:val="none"/>
        </w:rPr>
        <w:t>分。</w:t>
      </w:r>
    </w:p>
    <w:p>
      <w:pPr>
        <w:pageBreakBefore w:val="0"/>
        <w:kinsoku/>
        <w:wordWrap/>
        <w:overflowPunct/>
        <w:topLinePunct w:val="0"/>
        <w:autoSpaceDE/>
        <w:autoSpaceDN/>
        <w:bidi w:val="0"/>
        <w:adjustRightInd w:val="0"/>
        <w:spacing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（3）产出时效</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lang w:eastAsia="zh-CN"/>
        </w:rPr>
      </w:pPr>
      <w:r>
        <w:rPr>
          <w:rFonts w:hint="eastAsia" w:ascii="仿宋" w:hAnsi="仿宋" w:cs="仿宋"/>
          <w:color w:val="auto"/>
          <w:sz w:val="32"/>
          <w:szCs w:val="32"/>
          <w:highlight w:val="none"/>
          <w:lang w:eastAsia="zh-CN"/>
        </w:rPr>
        <w:t>城市运行管理服务平台任务处置及时率</w:t>
      </w:r>
    </w:p>
    <w:p>
      <w:pPr>
        <w:pageBreakBefore w:val="0"/>
        <w:kinsoku/>
        <w:wordWrap/>
        <w:overflowPunct/>
        <w:topLinePunct w:val="0"/>
        <w:autoSpaceDE/>
        <w:autoSpaceDN/>
        <w:bidi w:val="0"/>
        <w:adjustRightInd w:val="0"/>
        <w:spacing w:line="560" w:lineRule="exact"/>
        <w:ind w:left="0" w:leftChars="0" w:firstLine="640" w:firstLineChars="200"/>
        <w:textAlignment w:val="auto"/>
        <w:rPr>
          <w:rFonts w:hint="eastAsia" w:ascii="仿宋" w:hAnsi="仿宋" w:cs="仿宋"/>
          <w:color w:val="auto"/>
          <w:sz w:val="32"/>
          <w:szCs w:val="32"/>
          <w:highlight w:val="none"/>
          <w:lang w:eastAsia="zh-CN"/>
        </w:rPr>
      </w:pPr>
      <w:r>
        <w:rPr>
          <w:rFonts w:hint="eastAsia" w:ascii="仿宋" w:hAnsi="仿宋" w:cs="仿宋"/>
          <w:color w:val="auto"/>
          <w:sz w:val="32"/>
          <w:szCs w:val="32"/>
          <w:highlight w:val="none"/>
          <w:lang w:eastAsia="zh-CN"/>
        </w:rPr>
        <w:t>《黄石市城市运行管理服务平台》显示：团城山城维2022年度平台下达任务应处置数4038件，按期处置数3697件，任务处置及时率91.56%。</w:t>
      </w:r>
    </w:p>
    <w:p>
      <w:pPr>
        <w:pageBreakBefore w:val="0"/>
        <w:kinsoku/>
        <w:wordWrap/>
        <w:overflowPunct/>
        <w:topLinePunct w:val="0"/>
        <w:autoSpaceDE/>
        <w:autoSpaceDN/>
        <w:bidi w:val="0"/>
        <w:adjustRightInd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10</w:t>
      </w:r>
      <w:r>
        <w:rPr>
          <w:rFonts w:hint="eastAsia" w:ascii="仿宋" w:hAnsi="仿宋" w:cs="仿宋"/>
          <w:color w:val="auto"/>
          <w:sz w:val="32"/>
          <w:szCs w:val="32"/>
          <w:highlight w:val="none"/>
        </w:rPr>
        <w:t>分，</w:t>
      </w:r>
      <w:r>
        <w:rPr>
          <w:rFonts w:hint="eastAsia" w:ascii="仿宋" w:hAnsi="仿宋" w:cs="仿宋"/>
          <w:color w:val="auto"/>
          <w:sz w:val="32"/>
          <w:szCs w:val="32"/>
          <w:highlight w:val="none"/>
          <w:lang w:eastAsia="zh-CN"/>
        </w:rPr>
        <w:t>扣分</w:t>
      </w:r>
      <w:r>
        <w:rPr>
          <w:rFonts w:hint="eastAsia" w:ascii="仿宋" w:hAnsi="仿宋" w:cs="仿宋"/>
          <w:color w:val="auto"/>
          <w:sz w:val="32"/>
          <w:szCs w:val="32"/>
          <w:highlight w:val="none"/>
          <w:lang w:val="en-US" w:eastAsia="zh-CN"/>
        </w:rPr>
        <w:t>0.84分，</w:t>
      </w:r>
      <w:r>
        <w:rPr>
          <w:rFonts w:hint="eastAsia" w:ascii="仿宋" w:hAnsi="仿宋" w:cs="仿宋"/>
          <w:color w:val="auto"/>
          <w:sz w:val="32"/>
          <w:szCs w:val="32"/>
          <w:highlight w:val="none"/>
        </w:rPr>
        <w:t>得分</w:t>
      </w:r>
      <w:r>
        <w:rPr>
          <w:rFonts w:hint="eastAsia" w:ascii="仿宋" w:hAnsi="仿宋" w:cs="仿宋"/>
          <w:color w:val="auto"/>
          <w:sz w:val="32"/>
          <w:szCs w:val="32"/>
          <w:highlight w:val="none"/>
          <w:lang w:val="en-US" w:eastAsia="zh-CN"/>
        </w:rPr>
        <w:t>9.16</w:t>
      </w:r>
      <w:r>
        <w:rPr>
          <w:rFonts w:hint="eastAsia" w:ascii="仿宋" w:hAnsi="仿宋" w:cs="仿宋"/>
          <w:color w:val="auto"/>
          <w:sz w:val="32"/>
          <w:szCs w:val="32"/>
          <w:highlight w:val="none"/>
        </w:rPr>
        <w:t>分。</w:t>
      </w:r>
    </w:p>
    <w:p>
      <w:pPr>
        <w:pStyle w:val="2"/>
        <w:pageBreakBefore w:val="0"/>
        <w:kinsoku/>
        <w:wordWrap/>
        <w:overflowPunct/>
        <w:topLinePunct w:val="0"/>
        <w:autoSpaceDE/>
        <w:autoSpaceDN/>
        <w:bidi w:val="0"/>
        <w:spacing w:before="0" w:after="0" w:line="560" w:lineRule="exact"/>
        <w:ind w:left="0" w:leftChars="0" w:firstLine="643" w:firstLineChars="200"/>
        <w:textAlignment w:val="auto"/>
        <w:rPr>
          <w:rFonts w:ascii="仿宋" w:hAnsi="仿宋" w:cs="仿宋"/>
          <w:b/>
          <w:color w:val="auto"/>
          <w:sz w:val="32"/>
          <w:szCs w:val="32"/>
          <w:highlight w:val="none"/>
        </w:rPr>
      </w:pPr>
      <w:r>
        <w:rPr>
          <w:rFonts w:hint="eastAsia" w:ascii="仿宋" w:hAnsi="仿宋" w:cs="仿宋"/>
          <w:b/>
          <w:color w:val="auto"/>
          <w:sz w:val="32"/>
          <w:szCs w:val="32"/>
          <w:highlight w:val="none"/>
        </w:rPr>
        <w:t>4.项目效</w:t>
      </w:r>
      <w:r>
        <w:rPr>
          <w:rFonts w:hint="eastAsia" w:ascii="仿宋" w:hAnsi="仿宋" w:cs="仿宋"/>
          <w:b/>
          <w:color w:val="auto"/>
          <w:sz w:val="32"/>
          <w:szCs w:val="32"/>
          <w:highlight w:val="none"/>
          <w:lang w:eastAsia="zh-CN"/>
        </w:rPr>
        <w:t>果</w:t>
      </w:r>
      <w:r>
        <w:rPr>
          <w:rFonts w:hint="eastAsia" w:ascii="仿宋" w:hAnsi="仿宋" w:cs="仿宋"/>
          <w:b/>
          <w:color w:val="auto"/>
          <w:sz w:val="32"/>
          <w:szCs w:val="32"/>
          <w:highlight w:val="none"/>
        </w:rPr>
        <w:t>情况</w:t>
      </w:r>
    </w:p>
    <w:p>
      <w:pPr>
        <w:pStyle w:val="14"/>
        <w:pageBreakBefore w:val="0"/>
        <w:kinsoku/>
        <w:wordWrap/>
        <w:overflowPunct/>
        <w:topLinePunct w:val="0"/>
        <w:autoSpaceDE/>
        <w:autoSpaceDN/>
        <w:bidi w:val="0"/>
        <w:spacing w:line="560" w:lineRule="exact"/>
        <w:ind w:left="0" w:leftChars="0" w:firstLine="640" w:firstLineChars="200"/>
        <w:textAlignment w:val="auto"/>
        <w:rPr>
          <w:color w:val="auto"/>
          <w:sz w:val="32"/>
          <w:highlight w:val="none"/>
          <w:lang w:val="en-US" w:bidi="ar-SA"/>
        </w:rPr>
      </w:pPr>
      <w:bookmarkStart w:id="50" w:name="_Toc3482"/>
      <w:bookmarkStart w:id="51" w:name="_Toc10526"/>
      <w:bookmarkStart w:id="52" w:name="_Toc11210"/>
      <w:r>
        <w:rPr>
          <w:rFonts w:hint="eastAsia"/>
          <w:color w:val="auto"/>
          <w:sz w:val="32"/>
          <w:highlight w:val="none"/>
          <w:lang w:val="en-US" w:bidi="ar-SA"/>
        </w:rPr>
        <w:t>绩效评价人员对项目效</w:t>
      </w:r>
      <w:r>
        <w:rPr>
          <w:rFonts w:hint="eastAsia"/>
          <w:color w:val="auto"/>
          <w:sz w:val="32"/>
          <w:highlight w:val="none"/>
          <w:lang w:val="en-US" w:eastAsia="zh-CN" w:bidi="ar-SA"/>
        </w:rPr>
        <w:t>果</w:t>
      </w:r>
      <w:r>
        <w:rPr>
          <w:rFonts w:hint="eastAsia"/>
          <w:color w:val="auto"/>
          <w:sz w:val="32"/>
          <w:highlight w:val="none"/>
          <w:lang w:val="en-US" w:bidi="ar-SA"/>
        </w:rPr>
        <w:t>情况进行了调查，并分为社会效益、可持续影响和公众满意度，进行分析、考评，具体如下：</w:t>
      </w:r>
    </w:p>
    <w:p>
      <w:pPr>
        <w:pStyle w:val="14"/>
        <w:pageBreakBefore w:val="0"/>
        <w:kinsoku/>
        <w:wordWrap/>
        <w:overflowPunct/>
        <w:topLinePunct w:val="0"/>
        <w:autoSpaceDE/>
        <w:autoSpaceDN/>
        <w:bidi w:val="0"/>
        <w:spacing w:line="560" w:lineRule="exact"/>
        <w:ind w:left="0" w:leftChars="0" w:firstLine="643" w:firstLineChars="200"/>
        <w:textAlignment w:val="auto"/>
        <w:rPr>
          <w:b/>
          <w:bCs/>
          <w:color w:val="auto"/>
          <w:sz w:val="32"/>
          <w:highlight w:val="none"/>
          <w:lang w:val="en-US" w:bidi="ar-SA"/>
        </w:rPr>
      </w:pPr>
      <w:r>
        <w:rPr>
          <w:rFonts w:hint="eastAsia"/>
          <w:b/>
          <w:bCs/>
          <w:color w:val="auto"/>
          <w:sz w:val="32"/>
          <w:highlight w:val="none"/>
          <w:lang w:val="en-US" w:bidi="ar-SA"/>
        </w:rPr>
        <w:t>（1）社会效益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0"/>
        <w:rPr>
          <w:rFonts w:ascii="仿宋" w:hAnsi="仿宋" w:cs="仿宋"/>
          <w:bCs/>
          <w:color w:val="auto"/>
          <w:sz w:val="32"/>
          <w:szCs w:val="32"/>
          <w:highlight w:val="none"/>
        </w:rPr>
      </w:pPr>
      <w:r>
        <w:rPr>
          <w:rFonts w:hint="eastAsia" w:ascii="仿宋" w:hAnsi="仿宋" w:cs="仿宋"/>
          <w:color w:val="auto"/>
          <w:sz w:val="32"/>
          <w:szCs w:val="32"/>
          <w:highlight w:val="none"/>
          <w:lang w:eastAsia="zh-CN"/>
        </w:rPr>
        <w:t>《</w:t>
      </w:r>
      <w:r>
        <w:rPr>
          <w:rFonts w:hint="eastAsia" w:ascii="仿宋" w:hAnsi="仿宋" w:eastAsia="仿宋" w:cs="仿宋"/>
          <w:color w:val="auto"/>
          <w:kern w:val="0"/>
          <w:sz w:val="32"/>
          <w:szCs w:val="32"/>
          <w:highlight w:val="none"/>
          <w:lang w:val="en-US" w:eastAsia="zh-CN" w:bidi="ar"/>
        </w:rPr>
        <w:t>黄石市国民经济和社会发展第十四个五年</w:t>
      </w:r>
      <w:r>
        <w:rPr>
          <w:rFonts w:hint="default" w:ascii="仿宋" w:hAnsi="仿宋" w:eastAsia="仿宋" w:cs="仿宋"/>
          <w:color w:val="auto"/>
          <w:kern w:val="0"/>
          <w:sz w:val="32"/>
          <w:szCs w:val="32"/>
          <w:highlight w:val="none"/>
          <w:lang w:val="en-US" w:eastAsia="zh-CN" w:bidi="ar"/>
        </w:rPr>
        <w:t>规划和二</w:t>
      </w:r>
      <w:r>
        <w:rPr>
          <w:rFonts w:hint="eastAsia" w:ascii="仿宋" w:hAnsi="仿宋" w:eastAsia="仿宋" w:cs="仿宋"/>
          <w:color w:val="auto"/>
          <w:kern w:val="0"/>
          <w:sz w:val="32"/>
          <w:szCs w:val="32"/>
          <w:highlight w:val="none"/>
          <w:lang w:val="en-US" w:eastAsia="zh-CN" w:bidi="ar"/>
        </w:rPr>
        <w:t>〇</w:t>
      </w:r>
      <w:r>
        <w:rPr>
          <w:rFonts w:hint="default" w:ascii="仿宋" w:hAnsi="仿宋" w:eastAsia="仿宋" w:cs="仿宋"/>
          <w:color w:val="auto"/>
          <w:kern w:val="0"/>
          <w:sz w:val="32"/>
          <w:szCs w:val="32"/>
          <w:highlight w:val="none"/>
          <w:lang w:val="en-US" w:eastAsia="zh-CN" w:bidi="ar"/>
        </w:rPr>
        <w:t>三五年远景目标纲要</w:t>
      </w:r>
      <w:r>
        <w:rPr>
          <w:rFonts w:hint="eastAsia" w:ascii="仿宋" w:hAnsi="仿宋" w:cs="仿宋"/>
          <w:color w:val="auto"/>
          <w:sz w:val="32"/>
          <w:szCs w:val="32"/>
          <w:highlight w:val="none"/>
          <w:lang w:eastAsia="zh-CN"/>
        </w:rPr>
        <w:t>》</w:t>
      </w:r>
      <w:r>
        <w:rPr>
          <w:rFonts w:hint="eastAsia" w:ascii="仿宋" w:hAnsi="仿宋" w:cs="仿宋"/>
          <w:color w:val="auto"/>
          <w:sz w:val="32"/>
          <w:szCs w:val="32"/>
          <w:highlight w:val="none"/>
          <w:lang w:val="en-US" w:eastAsia="zh-CN"/>
        </w:rPr>
        <w:t>提出：</w:t>
      </w:r>
      <w:r>
        <w:rPr>
          <w:rFonts w:ascii="仿宋" w:hAnsi="仿宋" w:eastAsia="仿宋" w:cs="仿宋"/>
          <w:color w:val="auto"/>
          <w:kern w:val="0"/>
          <w:sz w:val="32"/>
          <w:szCs w:val="32"/>
          <w:highlight w:val="none"/>
          <w:lang w:val="en-US" w:eastAsia="zh-CN" w:bidi="ar"/>
        </w:rPr>
        <w:t>深化城管执法体制改革，加强城市管理执法队伍建设，推进</w:t>
      </w:r>
      <w:r>
        <w:rPr>
          <w:rFonts w:hint="eastAsia" w:ascii="仿宋" w:hAnsi="仿宋" w:eastAsia="仿宋" w:cs="仿宋"/>
          <w:color w:val="auto"/>
          <w:kern w:val="0"/>
          <w:sz w:val="32"/>
          <w:szCs w:val="32"/>
          <w:highlight w:val="none"/>
          <w:lang w:val="en-US" w:eastAsia="zh-CN" w:bidi="ar"/>
        </w:rPr>
        <w:t>严格规范公正文明执法。深入推进“美好环境与幸福生活共同缔造”活动，推动城市治理资源下沉社区。推进多元化投融资体制改革，构建“政府引导、金融支持、社会参与、市场运作”的城市管理事业发展体制机制。积极探索城市管理市场化、社会化服务新模式，鼓励、引导多主体全方位参与城市治理，形成多元共治、良性互动的城市治理格局。</w:t>
      </w:r>
      <w:r>
        <w:rPr>
          <w:rFonts w:hint="eastAsia" w:ascii="仿宋" w:hAnsi="仿宋" w:cs="仿宋"/>
          <w:bCs/>
          <w:color w:val="auto"/>
          <w:sz w:val="32"/>
          <w:szCs w:val="32"/>
          <w:highlight w:val="none"/>
          <w:lang w:eastAsia="zh-CN"/>
        </w:rPr>
        <w:t>市政维护道路及管网项目</w:t>
      </w:r>
      <w:r>
        <w:rPr>
          <w:rFonts w:hint="eastAsia" w:ascii="仿宋" w:hAnsi="仿宋" w:cs="仿宋"/>
          <w:bCs/>
          <w:color w:val="auto"/>
          <w:sz w:val="32"/>
          <w:szCs w:val="32"/>
          <w:highlight w:val="none"/>
        </w:rPr>
        <w:t>的社会效益主要表现在：</w:t>
      </w:r>
    </w:p>
    <w:p>
      <w:pPr>
        <w:pageBreakBefore w:val="0"/>
        <w:kinsoku/>
        <w:wordWrap/>
        <w:overflowPunct/>
        <w:topLinePunct w:val="0"/>
        <w:autoSpaceDE/>
        <w:autoSpaceDN/>
        <w:bidi w:val="0"/>
        <w:spacing w:line="560" w:lineRule="exact"/>
        <w:ind w:left="0" w:leftChars="0" w:firstLine="640" w:firstLineChars="200"/>
        <w:textAlignment w:val="auto"/>
        <w:outlineLvl w:val="0"/>
        <w:rPr>
          <w:rFonts w:ascii="仿宋" w:hAnsi="仿宋" w:cs="仿宋"/>
          <w:bCs/>
          <w:color w:val="auto"/>
          <w:sz w:val="32"/>
          <w:szCs w:val="32"/>
          <w:highlight w:val="none"/>
        </w:rPr>
      </w:pPr>
      <w:r>
        <w:rPr>
          <w:rFonts w:hint="eastAsia" w:ascii="仿宋" w:hAnsi="仿宋" w:cs="仿宋"/>
          <w:bCs/>
          <w:color w:val="auto"/>
          <w:sz w:val="32"/>
          <w:szCs w:val="32"/>
          <w:highlight w:val="none"/>
        </w:rPr>
        <w:fldChar w:fldCharType="begin"/>
      </w:r>
      <w:r>
        <w:rPr>
          <w:rFonts w:hint="eastAsia" w:ascii="仿宋" w:hAnsi="仿宋" w:cs="仿宋"/>
          <w:bCs/>
          <w:color w:val="auto"/>
          <w:sz w:val="32"/>
          <w:szCs w:val="32"/>
          <w:highlight w:val="none"/>
        </w:rPr>
        <w:instrText xml:space="preserve"> = 1 \* GB3 \* MERGEFORMAT </w:instrText>
      </w:r>
      <w:r>
        <w:rPr>
          <w:rFonts w:hint="eastAsia" w:ascii="仿宋" w:hAnsi="仿宋" w:cs="仿宋"/>
          <w:bCs/>
          <w:color w:val="auto"/>
          <w:sz w:val="32"/>
          <w:szCs w:val="32"/>
          <w:highlight w:val="none"/>
        </w:rPr>
        <w:fldChar w:fldCharType="separate"/>
      </w:r>
      <w:r>
        <w:rPr>
          <w:color w:val="auto"/>
          <w:highlight w:val="none"/>
        </w:rPr>
        <w:t>①</w:t>
      </w:r>
      <w:r>
        <w:rPr>
          <w:rFonts w:hint="eastAsia" w:ascii="仿宋" w:hAnsi="仿宋" w:cs="仿宋"/>
          <w:bCs/>
          <w:color w:val="auto"/>
          <w:sz w:val="32"/>
          <w:szCs w:val="32"/>
          <w:highlight w:val="none"/>
        </w:rPr>
        <w:fldChar w:fldCharType="end"/>
      </w:r>
      <w:r>
        <w:rPr>
          <w:rFonts w:hint="eastAsia" w:ascii="仿宋" w:hAnsi="仿宋" w:cs="仿宋"/>
          <w:bCs/>
          <w:color w:val="auto"/>
          <w:sz w:val="32"/>
          <w:szCs w:val="32"/>
          <w:highlight w:val="none"/>
        </w:rPr>
        <w:t>深化城市环卫园林养护作业体制改革</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项目的实施，深化城市环卫园林养护作业体制改革，全面提高园林绿化养护作业质量和管理水平。建立环卫园林作业市场体系，为黄石市创造洁净优美、宜游宜居的城市环境发挥积极作用。</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单项满意率77.00%。</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10</w:t>
      </w:r>
      <w:r>
        <w:rPr>
          <w:rFonts w:hint="eastAsia" w:ascii="仿宋" w:hAnsi="仿宋" w:cs="仿宋"/>
          <w:color w:val="auto"/>
          <w:sz w:val="32"/>
          <w:szCs w:val="32"/>
          <w:highlight w:val="none"/>
        </w:rPr>
        <w:t>分，扣分</w:t>
      </w:r>
      <w:r>
        <w:rPr>
          <w:rFonts w:hint="eastAsia" w:ascii="仿宋" w:hAnsi="仿宋" w:cs="仿宋"/>
          <w:color w:val="auto"/>
          <w:sz w:val="32"/>
          <w:szCs w:val="32"/>
          <w:highlight w:val="none"/>
          <w:lang w:val="en-US" w:eastAsia="zh-CN"/>
        </w:rPr>
        <w:t>2.30</w:t>
      </w:r>
      <w:r>
        <w:rPr>
          <w:rFonts w:hint="eastAsia" w:ascii="仿宋" w:hAnsi="仿宋" w:cs="仿宋"/>
          <w:color w:val="auto"/>
          <w:sz w:val="32"/>
          <w:szCs w:val="32"/>
          <w:highlight w:val="none"/>
        </w:rPr>
        <w:t>分，得分</w:t>
      </w:r>
      <w:r>
        <w:rPr>
          <w:rFonts w:hint="eastAsia" w:ascii="仿宋" w:hAnsi="仿宋" w:cs="仿宋"/>
          <w:color w:val="auto"/>
          <w:sz w:val="32"/>
          <w:szCs w:val="32"/>
          <w:highlight w:val="none"/>
          <w:lang w:val="en-US" w:eastAsia="zh-CN"/>
        </w:rPr>
        <w:t>7.70</w:t>
      </w:r>
      <w:r>
        <w:rPr>
          <w:rFonts w:hint="eastAsia" w:ascii="仿宋" w:hAnsi="仿宋" w:cs="仿宋"/>
          <w:color w:val="auto"/>
          <w:sz w:val="32"/>
          <w:szCs w:val="32"/>
          <w:highlight w:val="none"/>
        </w:rPr>
        <w:t>分。</w:t>
      </w:r>
    </w:p>
    <w:p>
      <w:pPr>
        <w:pageBreakBefore w:val="0"/>
        <w:kinsoku/>
        <w:wordWrap/>
        <w:overflowPunct/>
        <w:topLinePunct w:val="0"/>
        <w:autoSpaceDE/>
        <w:autoSpaceDN/>
        <w:bidi w:val="0"/>
        <w:spacing w:line="560" w:lineRule="exact"/>
        <w:ind w:left="0" w:leftChars="0" w:firstLine="640" w:firstLineChars="200"/>
        <w:textAlignment w:val="auto"/>
        <w:outlineLvl w:val="0"/>
        <w:rPr>
          <w:rFonts w:ascii="仿宋" w:hAnsi="仿宋" w:cs="仿宋"/>
          <w:bCs/>
          <w:color w:val="auto"/>
          <w:sz w:val="32"/>
          <w:szCs w:val="32"/>
          <w:highlight w:val="none"/>
        </w:rPr>
      </w:pPr>
      <w:r>
        <w:rPr>
          <w:rFonts w:hint="eastAsia" w:ascii="仿宋" w:hAnsi="仿宋" w:cs="仿宋"/>
          <w:bCs/>
          <w:color w:val="auto"/>
          <w:sz w:val="32"/>
          <w:szCs w:val="32"/>
          <w:highlight w:val="none"/>
        </w:rPr>
        <w:fldChar w:fldCharType="begin"/>
      </w:r>
      <w:r>
        <w:rPr>
          <w:rFonts w:hint="eastAsia" w:ascii="仿宋" w:hAnsi="仿宋" w:cs="仿宋"/>
          <w:bCs/>
          <w:color w:val="auto"/>
          <w:sz w:val="32"/>
          <w:szCs w:val="32"/>
          <w:highlight w:val="none"/>
        </w:rPr>
        <w:instrText xml:space="preserve"> = 2 \* GB3 \* MERGEFORMAT </w:instrText>
      </w:r>
      <w:r>
        <w:rPr>
          <w:rFonts w:hint="eastAsia" w:ascii="仿宋" w:hAnsi="仿宋" w:cs="仿宋"/>
          <w:bCs/>
          <w:color w:val="auto"/>
          <w:sz w:val="32"/>
          <w:szCs w:val="32"/>
          <w:highlight w:val="none"/>
        </w:rPr>
        <w:fldChar w:fldCharType="separate"/>
      </w:r>
      <w:r>
        <w:rPr>
          <w:color w:val="auto"/>
          <w:highlight w:val="none"/>
        </w:rPr>
        <w:t>②</w:t>
      </w:r>
      <w:r>
        <w:rPr>
          <w:rFonts w:hint="eastAsia" w:ascii="仿宋" w:hAnsi="仿宋" w:cs="仿宋"/>
          <w:bCs/>
          <w:color w:val="auto"/>
          <w:sz w:val="32"/>
          <w:szCs w:val="32"/>
          <w:highlight w:val="none"/>
        </w:rPr>
        <w:fldChar w:fldCharType="end"/>
      </w:r>
      <w:r>
        <w:rPr>
          <w:rFonts w:hint="eastAsia" w:ascii="仿宋" w:hAnsi="仿宋" w:cs="仿宋"/>
          <w:bCs/>
          <w:color w:val="auto"/>
          <w:sz w:val="32"/>
          <w:szCs w:val="32"/>
          <w:highlight w:val="none"/>
        </w:rPr>
        <w:t>妥善解决改革出现问题,促进社会和谐稳定</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项目的实施，统筹处理好发展、稳定和改革的关系，妥善解决改革中出现的问题，确保环卫园林作业市场化改革顺利实施，促进社会和谐稳定。改革范围内的在职在册人员由各城区通过转岗等渠道进行安置，待遇保持不变；聘用人员遗留问题由原用人单位根据实际情况予以妥善处理。</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eastAsia="仿宋" w:cs="仿宋"/>
          <w:bCs/>
          <w:color w:val="auto"/>
          <w:sz w:val="32"/>
          <w:szCs w:val="32"/>
          <w:highlight w:val="none"/>
          <w:lang w:eastAsia="zh-CN"/>
        </w:rPr>
      </w:pPr>
      <w:r>
        <w:rPr>
          <w:rFonts w:hint="eastAsia" w:ascii="仿宋" w:hAnsi="仿宋" w:cs="仿宋"/>
          <w:bCs/>
          <w:color w:val="auto"/>
          <w:sz w:val="32"/>
          <w:szCs w:val="32"/>
          <w:highlight w:val="none"/>
        </w:rPr>
        <w:t>单项满意率82.00%。</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10</w:t>
      </w:r>
      <w:r>
        <w:rPr>
          <w:rFonts w:hint="eastAsia" w:ascii="仿宋" w:hAnsi="仿宋" w:cs="仿宋"/>
          <w:color w:val="auto"/>
          <w:sz w:val="32"/>
          <w:szCs w:val="32"/>
          <w:highlight w:val="none"/>
        </w:rPr>
        <w:t>分，扣分</w:t>
      </w:r>
      <w:r>
        <w:rPr>
          <w:rFonts w:hint="eastAsia" w:ascii="仿宋" w:hAnsi="仿宋" w:cs="仿宋"/>
          <w:color w:val="auto"/>
          <w:sz w:val="32"/>
          <w:szCs w:val="32"/>
          <w:highlight w:val="none"/>
          <w:lang w:val="en-US" w:eastAsia="zh-CN"/>
        </w:rPr>
        <w:t>1.80</w:t>
      </w:r>
      <w:r>
        <w:rPr>
          <w:rFonts w:hint="eastAsia" w:ascii="仿宋" w:hAnsi="仿宋" w:cs="仿宋"/>
          <w:color w:val="auto"/>
          <w:sz w:val="32"/>
          <w:szCs w:val="32"/>
          <w:highlight w:val="none"/>
        </w:rPr>
        <w:t>分，得分</w:t>
      </w:r>
      <w:r>
        <w:rPr>
          <w:rFonts w:hint="eastAsia" w:ascii="仿宋" w:hAnsi="仿宋" w:cs="仿宋"/>
          <w:color w:val="auto"/>
          <w:sz w:val="32"/>
          <w:szCs w:val="32"/>
          <w:highlight w:val="none"/>
          <w:lang w:val="en-US" w:eastAsia="zh-CN"/>
        </w:rPr>
        <w:t>8.20</w:t>
      </w:r>
      <w:r>
        <w:rPr>
          <w:rFonts w:hint="eastAsia" w:ascii="仿宋" w:hAnsi="仿宋" w:cs="仿宋"/>
          <w:color w:val="auto"/>
          <w:sz w:val="32"/>
          <w:szCs w:val="32"/>
          <w:highlight w:val="none"/>
        </w:rPr>
        <w:t>分。</w:t>
      </w:r>
    </w:p>
    <w:p>
      <w:pPr>
        <w:pStyle w:val="14"/>
        <w:pageBreakBefore w:val="0"/>
        <w:kinsoku/>
        <w:wordWrap/>
        <w:overflowPunct/>
        <w:topLinePunct w:val="0"/>
        <w:autoSpaceDE/>
        <w:autoSpaceDN/>
        <w:bidi w:val="0"/>
        <w:spacing w:line="560" w:lineRule="exact"/>
        <w:ind w:left="0" w:leftChars="0" w:firstLine="643" w:firstLineChars="200"/>
        <w:textAlignment w:val="auto"/>
        <w:rPr>
          <w:b/>
          <w:bCs/>
          <w:color w:val="auto"/>
          <w:sz w:val="32"/>
          <w:highlight w:val="none"/>
          <w:lang w:val="en-US" w:bidi="ar-SA"/>
        </w:rPr>
      </w:pPr>
      <w:r>
        <w:rPr>
          <w:rFonts w:hint="eastAsia"/>
          <w:b/>
          <w:bCs/>
          <w:color w:val="auto"/>
          <w:sz w:val="32"/>
          <w:highlight w:val="none"/>
          <w:lang w:val="en-US" w:bidi="ar-SA"/>
        </w:rPr>
        <w:t>（2）可持续影响</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eastAsia="仿宋" w:cs="仿宋"/>
          <w:bCs/>
          <w:color w:val="auto"/>
          <w:kern w:val="2"/>
          <w:sz w:val="32"/>
          <w:szCs w:val="32"/>
          <w:highlight w:val="none"/>
          <w:lang w:val="en-US" w:eastAsia="zh-CN" w:bidi="ar-SA"/>
        </w:rPr>
      </w:pPr>
      <w:r>
        <w:rPr>
          <w:rFonts w:hint="eastAsia" w:ascii="仿宋" w:hAnsi="仿宋" w:cs="仿宋"/>
          <w:bCs/>
          <w:color w:val="auto"/>
          <w:sz w:val="32"/>
          <w:szCs w:val="32"/>
          <w:highlight w:val="none"/>
        </w:rPr>
        <w:t>项目的实施，以《市人民政府办公室关于印发&lt;黄石市城区环卫园林作业市场化改革实施方案&gt;的通知》（黄政办发〔2021〕17号）为</w:t>
      </w:r>
      <w:r>
        <w:rPr>
          <w:rFonts w:hint="eastAsia" w:ascii="仿宋" w:hAnsi="仿宋" w:cs="仿宋"/>
          <w:bCs/>
          <w:color w:val="auto"/>
          <w:sz w:val="32"/>
          <w:szCs w:val="32"/>
          <w:highlight w:val="none"/>
          <w:lang w:eastAsia="zh-CN"/>
        </w:rPr>
        <w:t>依据</w:t>
      </w:r>
      <w:r>
        <w:rPr>
          <w:rFonts w:hint="eastAsia" w:ascii="仿宋" w:hAnsi="仿宋" w:cs="仿宋"/>
          <w:bCs/>
          <w:color w:val="auto"/>
          <w:sz w:val="32"/>
          <w:szCs w:val="32"/>
          <w:highlight w:val="none"/>
        </w:rPr>
        <w:t>，纳入国民经济和社会发展规划。作为延续性项目，市、区两级财政安排资金予以保障，项目将产生可持续性影响。</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分，得分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w:t>
      </w:r>
    </w:p>
    <w:p>
      <w:pPr>
        <w:pageBreakBefore w:val="0"/>
        <w:kinsoku/>
        <w:wordWrap/>
        <w:overflowPunct/>
        <w:topLinePunct w:val="0"/>
        <w:autoSpaceDE/>
        <w:autoSpaceDN/>
        <w:bidi w:val="0"/>
        <w:spacing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（3）公众对象满意度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 w:hAnsi="仿宋" w:eastAsia="仿宋" w:cs="仿宋"/>
          <w:b w:val="0"/>
          <w:bCs/>
          <w:color w:val="auto"/>
          <w:sz w:val="32"/>
          <w:szCs w:val="32"/>
          <w:highlight w:val="none"/>
          <w:lang w:val="en-US" w:eastAsia="zh-CN"/>
        </w:rPr>
      </w:pPr>
      <w:r>
        <w:rPr>
          <w:rFonts w:hint="eastAsia" w:ascii="仿宋" w:hAnsi="仿宋" w:cs="仿宋"/>
          <w:bCs/>
          <w:color w:val="auto"/>
          <w:sz w:val="32"/>
          <w:szCs w:val="32"/>
          <w:highlight w:val="none"/>
        </w:rPr>
        <w:t>我们</w:t>
      </w:r>
      <w:r>
        <w:rPr>
          <w:rFonts w:hint="eastAsia" w:ascii="仿宋" w:hAnsi="仿宋" w:cs="仿宋"/>
          <w:bCs/>
          <w:color w:val="auto"/>
          <w:sz w:val="32"/>
          <w:szCs w:val="32"/>
          <w:highlight w:val="none"/>
          <w:lang w:val="en-US" w:eastAsia="zh-CN"/>
        </w:rPr>
        <w:t>对受益对象</w:t>
      </w:r>
      <w:r>
        <w:rPr>
          <w:rFonts w:hint="eastAsia" w:ascii="仿宋" w:hAnsi="仿宋" w:cs="仿宋"/>
          <w:bCs/>
          <w:color w:val="auto"/>
          <w:sz w:val="32"/>
          <w:szCs w:val="32"/>
          <w:highlight w:val="none"/>
        </w:rPr>
        <w:t>进行了问卷调查，发放问卷50份，收回有效问卷50份，收回有效率100%</w:t>
      </w:r>
      <w:r>
        <w:rPr>
          <w:rFonts w:hint="eastAsia" w:ascii="仿宋" w:hAnsi="仿宋" w:cs="仿宋"/>
          <w:bCs/>
          <w:color w:val="auto"/>
          <w:sz w:val="32"/>
          <w:szCs w:val="32"/>
          <w:highlight w:val="none"/>
          <w:lang w:eastAsia="zh-CN"/>
        </w:rPr>
        <w:t>。</w:t>
      </w:r>
      <w:r>
        <w:rPr>
          <w:rFonts w:hint="eastAsia" w:ascii="仿宋" w:hAnsi="仿宋" w:eastAsia="仿宋" w:cs="仿宋"/>
          <w:b w:val="0"/>
          <w:bCs/>
          <w:color w:val="auto"/>
          <w:sz w:val="32"/>
          <w:szCs w:val="32"/>
          <w:highlight w:val="none"/>
          <w:lang w:val="en-US" w:eastAsia="zh-CN"/>
        </w:rPr>
        <w:t>满意度调查分别从深化环卫园林改革、保持社会和谐稳定、</w:t>
      </w:r>
      <w:r>
        <w:rPr>
          <w:rFonts w:hint="eastAsia" w:ascii="仿宋" w:hAnsi="仿宋" w:eastAsia="仿宋" w:cs="仿宋"/>
          <w:b w:val="0"/>
          <w:bCs/>
          <w:color w:val="auto"/>
          <w:kern w:val="0"/>
          <w:sz w:val="32"/>
          <w:szCs w:val="32"/>
          <w:highlight w:val="none"/>
          <w:lang w:val="en-US" w:eastAsia="zh-CN" w:bidi="ar"/>
        </w:rPr>
        <w:t>环境卫生质量提高</w:t>
      </w:r>
      <w:r>
        <w:rPr>
          <w:rFonts w:hint="eastAsia" w:ascii="仿宋" w:hAnsi="仿宋" w:eastAsia="仿宋" w:cs="仿宋"/>
          <w:b w:val="0"/>
          <w:bCs/>
          <w:color w:val="auto"/>
          <w:sz w:val="32"/>
          <w:szCs w:val="32"/>
          <w:highlight w:val="none"/>
          <w:lang w:val="en-US" w:eastAsia="zh-CN"/>
        </w:rPr>
        <w:t>、</w:t>
      </w:r>
      <w:r>
        <w:rPr>
          <w:rFonts w:hint="eastAsia" w:ascii="仿宋" w:hAnsi="仿宋" w:eastAsia="仿宋" w:cs="仿宋"/>
          <w:b w:val="0"/>
          <w:bCs/>
          <w:color w:val="auto"/>
          <w:kern w:val="0"/>
          <w:sz w:val="32"/>
          <w:szCs w:val="32"/>
          <w:highlight w:val="none"/>
          <w:lang w:val="en-US" w:eastAsia="zh-CN" w:bidi="ar"/>
        </w:rPr>
        <w:t>园林绿化水平提升</w:t>
      </w:r>
      <w:r>
        <w:rPr>
          <w:rFonts w:hint="eastAsia" w:ascii="仿宋" w:hAnsi="仿宋" w:eastAsia="仿宋" w:cs="仿宋"/>
          <w:b w:val="0"/>
          <w:bCs/>
          <w:color w:val="auto"/>
          <w:sz w:val="32"/>
          <w:szCs w:val="32"/>
          <w:highlight w:val="none"/>
          <w:lang w:val="en-US" w:eastAsia="zh-CN"/>
        </w:rPr>
        <w:t>、可持续影响、环卫园林服务态度等六个方面进行，满意度调查结果加权综合得分80.92%。（其中：深化环卫园林改革的单项满意率77.00%、保持社会和谐稳定的单项满意率82.00%、</w:t>
      </w:r>
      <w:r>
        <w:rPr>
          <w:rFonts w:hint="eastAsia" w:ascii="仿宋" w:hAnsi="仿宋" w:eastAsia="仿宋" w:cs="仿宋"/>
          <w:b w:val="0"/>
          <w:bCs/>
          <w:color w:val="auto"/>
          <w:kern w:val="0"/>
          <w:sz w:val="32"/>
          <w:szCs w:val="32"/>
          <w:highlight w:val="none"/>
          <w:lang w:val="en-US" w:eastAsia="zh-CN" w:bidi="ar"/>
        </w:rPr>
        <w:t>环境卫生质量提高</w:t>
      </w:r>
      <w:r>
        <w:rPr>
          <w:rFonts w:hint="eastAsia" w:ascii="仿宋" w:hAnsi="仿宋" w:eastAsia="仿宋" w:cs="仿宋"/>
          <w:b w:val="0"/>
          <w:bCs/>
          <w:color w:val="auto"/>
          <w:sz w:val="32"/>
          <w:szCs w:val="32"/>
          <w:highlight w:val="none"/>
          <w:lang w:val="en-US" w:eastAsia="zh-CN"/>
        </w:rPr>
        <w:t>的单项满意率79.00%、</w:t>
      </w:r>
      <w:r>
        <w:rPr>
          <w:rFonts w:hint="eastAsia" w:ascii="仿宋" w:hAnsi="仿宋" w:eastAsia="仿宋" w:cs="仿宋"/>
          <w:b w:val="0"/>
          <w:bCs/>
          <w:color w:val="auto"/>
          <w:kern w:val="0"/>
          <w:sz w:val="32"/>
          <w:szCs w:val="32"/>
          <w:highlight w:val="none"/>
          <w:lang w:val="en-US" w:eastAsia="zh-CN" w:bidi="ar"/>
        </w:rPr>
        <w:t>园林绿化水平提升</w:t>
      </w:r>
      <w:r>
        <w:rPr>
          <w:rFonts w:hint="eastAsia" w:ascii="仿宋" w:hAnsi="仿宋" w:eastAsia="仿宋" w:cs="仿宋"/>
          <w:b w:val="0"/>
          <w:bCs/>
          <w:color w:val="auto"/>
          <w:sz w:val="32"/>
          <w:szCs w:val="32"/>
          <w:highlight w:val="none"/>
          <w:lang w:val="en-US" w:eastAsia="zh-CN"/>
        </w:rPr>
        <w:t>的单项满意率81.50%、可持续影响的单项满意率84.00%、环卫园林服务态度的单项满意率82.00%）</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受访者对项目的综合满意率：90%（含）以上得</w:t>
      </w:r>
      <w:r>
        <w:rPr>
          <w:rFonts w:hint="eastAsia" w:ascii="仿宋" w:hAnsi="仿宋" w:cs="仿宋"/>
          <w:bCs/>
          <w:color w:val="auto"/>
          <w:sz w:val="32"/>
          <w:szCs w:val="32"/>
          <w:highlight w:val="none"/>
          <w:lang w:val="en-US" w:eastAsia="zh-CN"/>
        </w:rPr>
        <w:t>10</w:t>
      </w:r>
      <w:r>
        <w:rPr>
          <w:rFonts w:hint="eastAsia" w:ascii="仿宋" w:hAnsi="仿宋" w:cs="仿宋"/>
          <w:bCs/>
          <w:color w:val="auto"/>
          <w:sz w:val="32"/>
          <w:szCs w:val="32"/>
          <w:highlight w:val="none"/>
        </w:rPr>
        <w:t>分；70-90%（含70%）按实际满意度计算得分；70%以下不得分。</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标准分</w:t>
      </w:r>
      <w:r>
        <w:rPr>
          <w:rFonts w:hint="eastAsia" w:ascii="仿宋" w:hAnsi="仿宋" w:cs="仿宋"/>
          <w:bCs/>
          <w:color w:val="auto"/>
          <w:sz w:val="32"/>
          <w:szCs w:val="32"/>
          <w:highlight w:val="none"/>
          <w:lang w:val="en-US" w:eastAsia="zh-CN"/>
        </w:rPr>
        <w:t>10</w:t>
      </w:r>
      <w:r>
        <w:rPr>
          <w:rFonts w:hint="eastAsia" w:ascii="仿宋" w:hAnsi="仿宋" w:cs="仿宋"/>
          <w:bCs/>
          <w:color w:val="auto"/>
          <w:sz w:val="32"/>
          <w:szCs w:val="32"/>
          <w:highlight w:val="none"/>
        </w:rPr>
        <w:t>分，扣分</w:t>
      </w:r>
      <w:r>
        <w:rPr>
          <w:rFonts w:hint="eastAsia" w:ascii="仿宋" w:hAnsi="仿宋" w:cs="仿宋"/>
          <w:bCs/>
          <w:color w:val="auto"/>
          <w:sz w:val="32"/>
          <w:szCs w:val="32"/>
          <w:highlight w:val="none"/>
          <w:lang w:val="en-US" w:eastAsia="zh-CN"/>
        </w:rPr>
        <w:t>1.91</w:t>
      </w:r>
      <w:r>
        <w:rPr>
          <w:rFonts w:hint="eastAsia" w:ascii="仿宋" w:hAnsi="仿宋" w:cs="仿宋"/>
          <w:bCs/>
          <w:color w:val="auto"/>
          <w:sz w:val="32"/>
          <w:szCs w:val="32"/>
          <w:highlight w:val="none"/>
        </w:rPr>
        <w:t>分，得分</w:t>
      </w:r>
      <w:r>
        <w:rPr>
          <w:rFonts w:hint="eastAsia" w:ascii="仿宋" w:hAnsi="仿宋" w:cs="仿宋"/>
          <w:bCs/>
          <w:color w:val="auto"/>
          <w:sz w:val="32"/>
          <w:szCs w:val="32"/>
          <w:highlight w:val="none"/>
          <w:lang w:val="en-US" w:eastAsia="zh-CN"/>
        </w:rPr>
        <w:t>8.09</w:t>
      </w:r>
      <w:r>
        <w:rPr>
          <w:rFonts w:hint="eastAsia" w:ascii="仿宋" w:hAnsi="仿宋" w:cs="仿宋"/>
          <w:bCs/>
          <w:color w:val="auto"/>
          <w:sz w:val="32"/>
          <w:szCs w:val="32"/>
          <w:highlight w:val="none"/>
        </w:rPr>
        <w:t>分。</w:t>
      </w:r>
    </w:p>
    <w:p>
      <w:pPr>
        <w:pStyle w:val="5"/>
        <w:pageBreakBefore w:val="0"/>
        <w:kinsoku/>
        <w:wordWrap/>
        <w:overflowPunct/>
        <w:topLinePunct w:val="0"/>
        <w:autoSpaceDE/>
        <w:autoSpaceDN/>
        <w:bidi w:val="0"/>
        <w:spacing w:before="0" w:after="0" w:line="560" w:lineRule="exact"/>
        <w:ind w:left="0" w:leftChars="0" w:firstLine="640" w:firstLineChars="200"/>
        <w:textAlignment w:val="auto"/>
        <w:rPr>
          <w:rFonts w:ascii="仿宋" w:hAnsi="仿宋" w:eastAsia="仿宋" w:cs="仿宋"/>
          <w:color w:val="auto"/>
          <w:sz w:val="32"/>
          <w:szCs w:val="32"/>
          <w:highlight w:val="none"/>
        </w:rPr>
      </w:pPr>
      <w:r>
        <w:rPr>
          <w:rFonts w:hint="eastAsia" w:ascii="楷体" w:hAnsi="楷体" w:eastAsia="楷体" w:cs="楷体"/>
          <w:color w:val="auto"/>
          <w:sz w:val="32"/>
          <w:szCs w:val="32"/>
          <w:highlight w:val="none"/>
        </w:rPr>
        <w:t>（四）上年度评价结果应用情况</w:t>
      </w:r>
      <w:bookmarkEnd w:id="50"/>
      <w:bookmarkEnd w:id="51"/>
      <w:bookmarkEnd w:id="52"/>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上年度或以前年度无“</w:t>
      </w:r>
      <w:r>
        <w:rPr>
          <w:rFonts w:hint="eastAsia" w:ascii="仿宋" w:hAnsi="仿宋" w:cs="仿宋"/>
          <w:bCs/>
          <w:color w:val="auto"/>
          <w:sz w:val="32"/>
          <w:szCs w:val="32"/>
          <w:highlight w:val="none"/>
          <w:lang w:eastAsia="zh-CN"/>
        </w:rPr>
        <w:t>市政维护道路及管网项目</w:t>
      </w:r>
      <w:r>
        <w:rPr>
          <w:rFonts w:hint="eastAsia" w:ascii="仿宋" w:hAnsi="仿宋" w:cs="仿宋"/>
          <w:bCs/>
          <w:color w:val="auto"/>
          <w:sz w:val="32"/>
          <w:szCs w:val="32"/>
          <w:highlight w:val="none"/>
        </w:rPr>
        <w:t>”</w:t>
      </w:r>
      <w:r>
        <w:rPr>
          <w:rFonts w:hint="eastAsia" w:ascii="仿宋" w:hAnsi="仿宋" w:cs="仿宋"/>
          <w:color w:val="auto"/>
          <w:sz w:val="32"/>
          <w:szCs w:val="32"/>
          <w:highlight w:val="none"/>
        </w:rPr>
        <w:t>的绩效评价，故无相关绩效评价结果应用。</w:t>
      </w:r>
    </w:p>
    <w:p>
      <w:pPr>
        <w:pStyle w:val="5"/>
        <w:pageBreakBefore w:val="0"/>
        <w:kinsoku/>
        <w:wordWrap/>
        <w:overflowPunct/>
        <w:topLinePunct w:val="0"/>
        <w:autoSpaceDE/>
        <w:autoSpaceDN/>
        <w:bidi w:val="0"/>
        <w:spacing w:before="0" w:after="0" w:line="560" w:lineRule="exact"/>
        <w:ind w:left="0" w:leftChars="0" w:firstLine="640" w:firstLineChars="200"/>
        <w:textAlignment w:val="auto"/>
        <w:rPr>
          <w:rFonts w:ascii="楷体" w:hAnsi="楷体" w:eastAsia="楷体" w:cs="楷体"/>
          <w:color w:val="auto"/>
          <w:sz w:val="32"/>
          <w:szCs w:val="32"/>
          <w:highlight w:val="none"/>
        </w:rPr>
      </w:pPr>
      <w:bookmarkStart w:id="53" w:name="_Toc10259"/>
      <w:bookmarkStart w:id="54" w:name="_Toc5189"/>
      <w:bookmarkStart w:id="55" w:name="_Toc8863"/>
      <w:r>
        <w:rPr>
          <w:rFonts w:hint="eastAsia" w:ascii="楷体" w:hAnsi="楷体" w:eastAsia="楷体" w:cs="楷体"/>
          <w:color w:val="auto"/>
          <w:sz w:val="32"/>
          <w:szCs w:val="32"/>
          <w:highlight w:val="none"/>
        </w:rPr>
        <w:t>（五）其他佐证材料</w:t>
      </w:r>
      <w:bookmarkEnd w:id="53"/>
      <w:bookmarkEnd w:id="54"/>
      <w:bookmarkEnd w:id="55"/>
    </w:p>
    <w:p>
      <w:pPr>
        <w:pageBreakBefore w:val="0"/>
        <w:kinsoku/>
        <w:wordWrap/>
        <w:overflowPunct/>
        <w:topLinePunct w:val="0"/>
        <w:autoSpaceDE/>
        <w:autoSpaceDN/>
        <w:bidi w:val="0"/>
        <w:spacing w:line="560" w:lineRule="exact"/>
        <w:ind w:left="0" w:leftChars="0" w:firstLine="640" w:firstLineChars="200"/>
        <w:textAlignment w:val="auto"/>
        <w:rPr>
          <w:rFonts w:ascii="楷体" w:hAnsi="楷体" w:eastAsia="楷体" w:cs="仿宋"/>
          <w:color w:val="auto"/>
          <w:kern w:val="0"/>
          <w:sz w:val="32"/>
          <w:szCs w:val="32"/>
          <w:highlight w:val="none"/>
        </w:rPr>
      </w:pPr>
      <w:r>
        <w:rPr>
          <w:rFonts w:hint="eastAsia" w:ascii="楷体" w:hAnsi="楷体" w:eastAsia="楷体" w:cs="仿宋"/>
          <w:color w:val="auto"/>
          <w:kern w:val="0"/>
          <w:sz w:val="32"/>
          <w:szCs w:val="32"/>
          <w:highlight w:val="none"/>
        </w:rPr>
        <w:t>1.</w:t>
      </w:r>
      <w:r>
        <w:rPr>
          <w:rFonts w:hint="eastAsia" w:ascii="楷体" w:hAnsi="楷体" w:eastAsia="楷体"/>
          <w:color w:val="auto"/>
          <w:highlight w:val="none"/>
        </w:rPr>
        <w:t xml:space="preserve"> </w:t>
      </w:r>
      <w:r>
        <w:rPr>
          <w:rFonts w:hint="eastAsia" w:ascii="楷体" w:hAnsi="楷体" w:eastAsia="楷体" w:cs="仿宋"/>
          <w:color w:val="auto"/>
          <w:kern w:val="0"/>
          <w:sz w:val="32"/>
          <w:szCs w:val="32"/>
          <w:highlight w:val="none"/>
        </w:rPr>
        <w:t>应特别说明的相关问题</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1）我们的责任是在实施绩效评价程序的基础上，对项目的执行、资金的使用进行绩效评价。选择的绩效评价程序取决于评价人员的判断，项目评价的可靠性基于相关部门和单位提供资料的全面性和准确性，评价小组尽可能地收集更为全面、有效、准确的文件和数据，但由于受客观因素的限制，只能在相关部门和单位提供的现有资料的前提下，结合应有的职业判断做出尽可能可靠的评价结论。由于是采用抽样方式开展绩效评价工作，无法对项目进行全面核实，只能根据样本评价结果推导所有项目的评价结果，由于样本差异，总体评价结果可能存在一定偏差。</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（2）本公司及评价人员与委托评价单位和项目实施单位之间不存在任何特殊的、需要回避的利害关系，评价人员在评价过程</w:t>
      </w:r>
      <w:r>
        <w:rPr>
          <w:rFonts w:hint="eastAsia" w:ascii="仿宋" w:hAnsi="仿宋" w:cs="仿宋"/>
          <w:bCs/>
          <w:color w:val="auto"/>
          <w:sz w:val="32"/>
          <w:szCs w:val="32"/>
          <w:highlight w:val="none"/>
          <w:lang w:val="en-US" w:eastAsia="zh-CN"/>
        </w:rPr>
        <w:t>中</w:t>
      </w:r>
      <w:r>
        <w:rPr>
          <w:rFonts w:hint="eastAsia" w:ascii="仿宋" w:hAnsi="仿宋" w:cs="仿宋"/>
          <w:bCs/>
          <w:color w:val="auto"/>
          <w:sz w:val="32"/>
          <w:szCs w:val="32"/>
          <w:highlight w:val="none"/>
        </w:rPr>
        <w:t>恪守了职业道德规范。</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（3）本报告使用人对评价结果的把握，应建立在对本报告所提供的有关评价结果的各项条件及说明进行认真阅读和理解的基础之上。</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（4）</w:t>
      </w:r>
      <w:r>
        <w:rPr>
          <w:rFonts w:hint="eastAsia" w:ascii="仿宋" w:hAnsi="仿宋" w:cs="仿宋"/>
          <w:bCs/>
          <w:color w:val="auto"/>
          <w:sz w:val="32"/>
          <w:szCs w:val="32"/>
          <w:highlight w:val="none"/>
          <w:lang w:val="en-US" w:eastAsia="zh-CN"/>
        </w:rPr>
        <w:t>黄石市下陆区城市管理执法局等单位</w:t>
      </w:r>
      <w:r>
        <w:rPr>
          <w:rFonts w:hint="eastAsia" w:ascii="仿宋" w:hAnsi="仿宋" w:cs="仿宋"/>
          <w:bCs/>
          <w:color w:val="auto"/>
          <w:sz w:val="32"/>
          <w:szCs w:val="32"/>
          <w:highlight w:val="none"/>
        </w:rPr>
        <w:t>的责任是提供与形成本项目绩效评价报告相关的基础工作材料和项目资金财务核算等相关资料，并对其真实性、合法性、完整性负责。</w:t>
      </w:r>
    </w:p>
    <w:p>
      <w:pPr>
        <w:pStyle w:val="14"/>
        <w:pageBreakBefore w:val="0"/>
        <w:kinsoku/>
        <w:wordWrap/>
        <w:overflowPunct/>
        <w:topLinePunct w:val="0"/>
        <w:autoSpaceDE/>
        <w:autoSpaceDN/>
        <w:bidi w:val="0"/>
        <w:spacing w:line="560" w:lineRule="exact"/>
        <w:ind w:left="0" w:leftChars="0" w:firstLine="640" w:firstLineChars="200"/>
        <w:textAlignment w:val="auto"/>
        <w:rPr>
          <w:rFonts w:ascii="楷体" w:hAnsi="楷体" w:eastAsia="楷体"/>
          <w:color w:val="auto"/>
          <w:kern w:val="0"/>
          <w:sz w:val="32"/>
          <w:highlight w:val="none"/>
        </w:rPr>
      </w:pPr>
      <w:r>
        <w:rPr>
          <w:rFonts w:hint="eastAsia" w:ascii="楷体" w:hAnsi="楷体" w:eastAsia="楷体"/>
          <w:color w:val="auto"/>
          <w:kern w:val="0"/>
          <w:sz w:val="32"/>
          <w:highlight w:val="none"/>
        </w:rPr>
        <w:t>2.</w:t>
      </w:r>
      <w:r>
        <w:rPr>
          <w:rFonts w:hint="eastAsia" w:ascii="楷体" w:hAnsi="楷体" w:eastAsia="楷体"/>
          <w:color w:val="auto"/>
          <w:highlight w:val="none"/>
        </w:rPr>
        <w:t xml:space="preserve"> </w:t>
      </w:r>
      <w:r>
        <w:rPr>
          <w:rFonts w:hint="eastAsia" w:ascii="楷体" w:hAnsi="楷体" w:eastAsia="楷体"/>
          <w:color w:val="auto"/>
          <w:kern w:val="0"/>
          <w:sz w:val="32"/>
          <w:highlight w:val="none"/>
        </w:rPr>
        <w:t>相关附件</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附件1、湖北省财政项目绩效评价计分结果级别评定对照表</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附件2、</w:t>
      </w:r>
      <w:r>
        <w:rPr>
          <w:rFonts w:hint="eastAsia" w:ascii="仿宋" w:hAnsi="仿宋" w:cs="仿宋"/>
          <w:color w:val="auto"/>
          <w:sz w:val="32"/>
          <w:szCs w:val="32"/>
          <w:highlight w:val="none"/>
          <w:lang w:eastAsia="zh-CN"/>
        </w:rPr>
        <w:t>黄石市下陆区市政维护道路及管网项目</w:t>
      </w:r>
      <w:r>
        <w:rPr>
          <w:rFonts w:hint="eastAsia" w:ascii="仿宋" w:hAnsi="仿宋" w:cs="仿宋"/>
          <w:color w:val="auto"/>
          <w:sz w:val="32"/>
          <w:szCs w:val="32"/>
          <w:highlight w:val="none"/>
        </w:rPr>
        <w:t>绩效评分表</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cs="仿宋"/>
          <w:color w:val="auto"/>
          <w:sz w:val="32"/>
          <w:szCs w:val="32"/>
          <w:highlight w:val="none"/>
        </w:rPr>
        <w:t>附件3、绩效评价调查问卷-</w:t>
      </w:r>
      <w:r>
        <w:rPr>
          <w:rFonts w:hint="eastAsia" w:ascii="仿宋" w:hAnsi="仿宋" w:cs="仿宋"/>
          <w:color w:val="auto"/>
          <w:sz w:val="32"/>
          <w:szCs w:val="32"/>
          <w:highlight w:val="none"/>
          <w:lang w:eastAsia="zh-CN"/>
        </w:rPr>
        <w:t>黄石市下陆区市政维护道路及管网项目</w:t>
      </w:r>
    </w:p>
    <w:p>
      <w:pPr>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cs="仿宋"/>
          <w:color w:val="auto"/>
          <w:sz w:val="32"/>
          <w:szCs w:val="32"/>
          <w:highlight w:val="none"/>
        </w:rPr>
        <w:t>附件4、问卷调查数据整理-</w:t>
      </w:r>
      <w:r>
        <w:rPr>
          <w:rFonts w:hint="eastAsia" w:ascii="仿宋" w:hAnsi="仿宋" w:cs="仿宋"/>
          <w:color w:val="auto"/>
          <w:sz w:val="32"/>
          <w:szCs w:val="32"/>
          <w:highlight w:val="none"/>
          <w:lang w:eastAsia="zh-CN"/>
        </w:rPr>
        <w:t>黄石市下陆区市政维护道路及管网项目</w:t>
      </w:r>
    </w:p>
    <w:p>
      <w:pPr>
        <w:pageBreakBefore w:val="0"/>
        <w:kinsoku/>
        <w:wordWrap/>
        <w:overflowPunct/>
        <w:topLinePunct w:val="0"/>
        <w:autoSpaceDE/>
        <w:autoSpaceDN/>
        <w:bidi w:val="0"/>
        <w:spacing w:line="560" w:lineRule="exact"/>
        <w:ind w:left="0" w:leftChars="0" w:firstLine="643" w:firstLineChars="200"/>
        <w:textAlignment w:val="auto"/>
        <w:rPr>
          <w:rFonts w:hint="eastAsia" w:ascii="黑体" w:hAnsi="黑体" w:eastAsia="黑体" w:cs="黑体"/>
          <w:b/>
          <w:color w:val="auto"/>
          <w:kern w:val="44"/>
          <w:sz w:val="32"/>
          <w:szCs w:val="32"/>
          <w:highlight w:val="none"/>
          <w:lang w:val="en-US" w:eastAsia="zh-CN" w:bidi="ar-SA"/>
        </w:rPr>
      </w:pPr>
      <w:r>
        <w:rPr>
          <w:rFonts w:hint="eastAsia" w:ascii="黑体" w:hAnsi="黑体" w:eastAsia="黑体" w:cs="黑体"/>
          <w:b/>
          <w:color w:val="auto"/>
          <w:kern w:val="44"/>
          <w:sz w:val="32"/>
          <w:szCs w:val="32"/>
          <w:highlight w:val="none"/>
          <w:lang w:val="en-US" w:eastAsia="zh-CN" w:bidi="ar-SA"/>
        </w:rPr>
        <w:br w:type="page"/>
      </w:r>
    </w:p>
    <w:p>
      <w:pPr>
        <w:pageBreakBefore w:val="0"/>
        <w:widowControl w:val="0"/>
        <w:numPr>
          <w:ilvl w:val="0"/>
          <w:numId w:val="3"/>
        </w:numPr>
        <w:kinsoku/>
        <w:wordWrap/>
        <w:overflowPunct/>
        <w:topLinePunct w:val="0"/>
        <w:autoSpaceDE/>
        <w:autoSpaceDN/>
        <w:bidi w:val="0"/>
        <w:adjustRightInd/>
        <w:snapToGrid/>
        <w:spacing w:line="560" w:lineRule="exact"/>
        <w:ind w:left="0" w:leftChars="0" w:firstLine="643" w:firstLineChars="200"/>
        <w:textAlignment w:val="auto"/>
        <w:rPr>
          <w:rFonts w:hint="eastAsia" w:ascii="黑体" w:hAnsi="黑体" w:eastAsia="黑体" w:cs="黑体"/>
          <w:b/>
          <w:color w:val="auto"/>
          <w:kern w:val="44"/>
          <w:sz w:val="32"/>
          <w:szCs w:val="32"/>
          <w:highlight w:val="none"/>
          <w:lang w:val="en-US" w:eastAsia="zh-CN" w:bidi="ar-SA"/>
        </w:rPr>
      </w:pPr>
      <w:r>
        <w:rPr>
          <w:rFonts w:hint="eastAsia" w:ascii="黑体" w:hAnsi="黑体" w:eastAsia="黑体" w:cs="黑体"/>
          <w:b/>
          <w:color w:val="auto"/>
          <w:kern w:val="44"/>
          <w:sz w:val="32"/>
          <w:szCs w:val="32"/>
          <w:highlight w:val="none"/>
          <w:lang w:val="en-US" w:eastAsia="zh-CN" w:bidi="ar-SA"/>
        </w:rPr>
        <w:t>原始资料</w:t>
      </w:r>
    </w:p>
    <w:p>
      <w:pPr>
        <w:pStyle w:val="3"/>
        <w:pageBreakBefore w:val="0"/>
        <w:widowControl w:val="0"/>
        <w:numPr>
          <w:ilvl w:val="0"/>
          <w:numId w:val="0"/>
        </w:numPr>
        <w:kinsoku/>
        <w:wordWrap/>
        <w:overflowPunct/>
        <w:topLinePunct w:val="0"/>
        <w:autoSpaceDE/>
        <w:autoSpaceDN/>
        <w:bidi w:val="0"/>
        <w:adjustRightInd/>
        <w:snapToGrid/>
        <w:spacing w:line="560" w:lineRule="exact"/>
        <w:ind w:left="0" w:leftChars="0" w:firstLine="320" w:firstLineChars="1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1.《黄石市城区环卫园林作业市场化改革实施方案》（黄政办发〔2021〕17号）</w:t>
      </w:r>
    </w:p>
    <w:p>
      <w:pPr>
        <w:pStyle w:val="3"/>
        <w:pageBreakBefore w:val="0"/>
        <w:widowControl w:val="0"/>
        <w:numPr>
          <w:ilvl w:val="0"/>
          <w:numId w:val="0"/>
        </w:numPr>
        <w:kinsoku/>
        <w:wordWrap/>
        <w:overflowPunct/>
        <w:topLinePunct w:val="0"/>
        <w:autoSpaceDE/>
        <w:autoSpaceDN/>
        <w:bidi w:val="0"/>
        <w:adjustRightInd/>
        <w:snapToGrid/>
        <w:spacing w:line="560" w:lineRule="exact"/>
        <w:ind w:left="0" w:leftChars="0" w:firstLine="320" w:firstLineChars="1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2.《项目支出绩效目标申报表（2022年下陆区市政维护道路及管网项目）》</w:t>
      </w:r>
    </w:p>
    <w:p>
      <w:pPr>
        <w:pageBreakBefore w:val="0"/>
        <w:widowControl w:val="0"/>
        <w:kinsoku/>
        <w:wordWrap/>
        <w:overflowPunct/>
        <w:topLinePunct w:val="0"/>
        <w:autoSpaceDE/>
        <w:autoSpaceDN/>
        <w:bidi w:val="0"/>
        <w:adjustRightInd/>
        <w:snapToGrid/>
        <w:spacing w:line="560" w:lineRule="exact"/>
        <w:ind w:left="0" w:leftChars="0" w:firstLine="320" w:firstLineChars="1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3.《关于环卫园林市场化改革进展情况的工作汇报》（2021.7.23区委常委会汇报）</w:t>
      </w:r>
    </w:p>
    <w:p>
      <w:pPr>
        <w:pStyle w:val="2"/>
        <w:pageBreakBefore w:val="0"/>
        <w:widowControl w:val="0"/>
        <w:kinsoku/>
        <w:wordWrap/>
        <w:overflowPunct/>
        <w:topLinePunct w:val="0"/>
        <w:autoSpaceDE/>
        <w:autoSpaceDN/>
        <w:bidi w:val="0"/>
        <w:adjustRightInd/>
        <w:snapToGrid/>
        <w:spacing w:before="0" w:after="0" w:line="560" w:lineRule="exact"/>
        <w:ind w:left="0" w:leftChars="0" w:firstLine="320" w:firstLineChars="1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4.市政维护道路及管网项目明细账20220101至20221231</w:t>
      </w:r>
    </w:p>
    <w:p>
      <w:pPr>
        <w:pageBreakBefore w:val="0"/>
        <w:widowControl w:val="0"/>
        <w:kinsoku/>
        <w:wordWrap/>
        <w:overflowPunct/>
        <w:topLinePunct w:val="0"/>
        <w:autoSpaceDE/>
        <w:autoSpaceDN/>
        <w:bidi w:val="0"/>
        <w:adjustRightInd/>
        <w:snapToGrid/>
        <w:spacing w:line="560" w:lineRule="exact"/>
        <w:ind w:left="0" w:leftChars="0" w:firstLine="320" w:firstLineChars="1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5.记账凭证2022年6月47#（正式工工资）</w:t>
      </w:r>
    </w:p>
    <w:p>
      <w:pPr>
        <w:pStyle w:val="2"/>
        <w:pageBreakBefore w:val="0"/>
        <w:widowControl w:val="0"/>
        <w:kinsoku/>
        <w:wordWrap/>
        <w:overflowPunct/>
        <w:topLinePunct w:val="0"/>
        <w:autoSpaceDE/>
        <w:autoSpaceDN/>
        <w:bidi w:val="0"/>
        <w:adjustRightInd/>
        <w:snapToGrid/>
        <w:spacing w:before="0" w:after="0" w:line="560" w:lineRule="exact"/>
        <w:ind w:left="0" w:leftChars="0" w:firstLine="320" w:firstLineChars="1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6.记账凭证2022年6月48#（同工同酬工资）</w:t>
      </w:r>
    </w:p>
    <w:p>
      <w:pPr>
        <w:pStyle w:val="3"/>
        <w:pageBreakBefore w:val="0"/>
        <w:widowControl w:val="0"/>
        <w:kinsoku/>
        <w:wordWrap/>
        <w:overflowPunct/>
        <w:topLinePunct w:val="0"/>
        <w:autoSpaceDE/>
        <w:autoSpaceDN/>
        <w:bidi w:val="0"/>
        <w:adjustRightInd/>
        <w:snapToGrid/>
        <w:spacing w:line="560" w:lineRule="exact"/>
        <w:ind w:left="0" w:leftChars="0" w:firstLine="320" w:firstLineChars="1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7.记账凭证2022年11月64#（赔偿明靓意外伤害费用）</w:t>
      </w:r>
    </w:p>
    <w:p>
      <w:pPr>
        <w:pageBreakBefore w:val="0"/>
        <w:widowControl w:val="0"/>
        <w:kinsoku/>
        <w:wordWrap/>
        <w:overflowPunct/>
        <w:topLinePunct w:val="0"/>
        <w:autoSpaceDE/>
        <w:autoSpaceDN/>
        <w:bidi w:val="0"/>
        <w:adjustRightInd/>
        <w:snapToGrid/>
        <w:spacing w:line="560" w:lineRule="exact"/>
        <w:ind w:left="0" w:leftChars="0" w:firstLine="320" w:firstLineChars="1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 xml:space="preserve">8.下陆区2022年环卫业务处置统计（黄石市城市运行管理服务平台） </w:t>
      </w:r>
      <w:bookmarkStart w:id="56" w:name="_GoBack"/>
      <w:bookmarkEnd w:id="56"/>
    </w:p>
    <w:sectPr>
      <w:footerReference r:id="rId6" w:type="default"/>
      <w:pgSz w:w="11906" w:h="16838"/>
      <w:pgMar w:top="2098" w:right="1474" w:bottom="1984" w:left="1587" w:header="851" w:footer="992" w:gutter="0"/>
      <w:pgNumType w:fmt="numberInDash"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方正小标宋_GBK">
    <w:altName w:val="宋体"/>
    <w:panose1 w:val="00000000000000000000"/>
    <w:charset w:val="86"/>
    <w:family w:val="roma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722412"/>
      <w:docPartObj>
        <w:docPartGallery w:val="autotext"/>
      </w:docPartObj>
    </w:sdtPr>
    <w:sdtContent>
      <w:p>
        <w:pPr>
          <w:pStyle w:val="17"/>
          <w:jc w:val="right"/>
        </w:pPr>
        <w:r>
          <w:fldChar w:fldCharType="begin"/>
        </w:r>
        <w:r>
          <w:instrText xml:space="preserve"> PAGE   \* MERGEFORMAT </w:instrText>
        </w:r>
        <w:r>
          <w:fldChar w:fldCharType="separate"/>
        </w:r>
        <w:r>
          <w:rPr>
            <w:lang w:val="zh-CN"/>
          </w:rPr>
          <w:t>-</w:t>
        </w:r>
        <w:r>
          <w:t xml:space="preserve"> 1 -</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right" w:pos="8845"/>
        <w:tab w:val="clear" w:pos="4153"/>
      </w:tabs>
      <w:rPr>
        <w:sz w:val="21"/>
        <w:szCs w:val="21"/>
      </w:rPr>
    </w:pPr>
    <w:r>
      <w:pict>
        <v:shape id="_x0000_s4099" o:spid="_x0000_s4099" o:spt="202" type="#_x0000_t202" style="position:absolute;left:0pt;margin-left:411.4pt;margin-top:-25.8pt;height:26.1pt;width:28.45pt;mso-position-horizontal-relative:margin;z-index:251659264;mso-width-relative:page;mso-height-relative:page;" filled="f" stroked="f" coordsize="21600,21600">
          <v:path/>
          <v:fill on="f" focussize="0,0"/>
          <v:stroke on="f" joinstyle="miter"/>
          <v:imagedata o:title=""/>
          <o:lock v:ext="edit"/>
          <v:textbox inset="0mm,0mm,0mm,0mm">
            <w:txbxContent>
              <w:p>
                <w:pPr>
                  <w:pStyle w:val="17"/>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 PAGE  \* MERGEFORMAT </w:instrText>
                </w:r>
                <w:r>
                  <w:rPr>
                    <w:rFonts w:ascii="Times New Roman" w:hAnsi="Times New Roman"/>
                    <w:sz w:val="28"/>
                  </w:rPr>
                  <w:fldChar w:fldCharType="separate"/>
                </w:r>
                <w:r>
                  <w:rPr>
                    <w:rFonts w:ascii="Times New Roman" w:hAnsi="Times New Roman"/>
                    <w:sz w:val="28"/>
                  </w:rPr>
                  <w:t>- 2 -</w:t>
                </w:r>
                <w:r>
                  <w:rPr>
                    <w:rFonts w:ascii="Times New Roman" w:hAnsi="Times New Roman"/>
                    <w:sz w:val="28"/>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2FA343"/>
    <w:multiLevelType w:val="singleLevel"/>
    <w:tmpl w:val="8D2FA343"/>
    <w:lvl w:ilvl="0" w:tentative="0">
      <w:start w:val="2"/>
      <w:numFmt w:val="decimal"/>
      <w:suff w:val="nothing"/>
      <w:lvlText w:val="%1、"/>
      <w:lvlJc w:val="left"/>
    </w:lvl>
  </w:abstractNum>
  <w:abstractNum w:abstractNumId="1">
    <w:nsid w:val="A762816F"/>
    <w:multiLevelType w:val="singleLevel"/>
    <w:tmpl w:val="A762816F"/>
    <w:lvl w:ilvl="0" w:tentative="0">
      <w:start w:val="1"/>
      <w:numFmt w:val="decimal"/>
      <w:suff w:val="nothing"/>
      <w:lvlText w:val="（%1）"/>
      <w:lvlJc w:val="left"/>
      <w:pPr>
        <w:ind w:left="-41"/>
      </w:pPr>
    </w:lvl>
  </w:abstractNum>
  <w:abstractNum w:abstractNumId="2">
    <w:nsid w:val="AAD02A50"/>
    <w:multiLevelType w:val="singleLevel"/>
    <w:tmpl w:val="AAD02A50"/>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DcxYWQ3NDU2ZGY5ZjIzN2IzNmQ3YzJlMzdlMTVhNWIifQ=="/>
  </w:docVars>
  <w:rsids>
    <w:rsidRoot w:val="5BFE6DB1"/>
    <w:rsid w:val="00007324"/>
    <w:rsid w:val="00052FFD"/>
    <w:rsid w:val="000611A6"/>
    <w:rsid w:val="0006315E"/>
    <w:rsid w:val="00066310"/>
    <w:rsid w:val="00077BF0"/>
    <w:rsid w:val="00084AE7"/>
    <w:rsid w:val="00095928"/>
    <w:rsid w:val="000A4EBF"/>
    <w:rsid w:val="000A6E31"/>
    <w:rsid w:val="000A70DE"/>
    <w:rsid w:val="000C66BC"/>
    <w:rsid w:val="000D6E06"/>
    <w:rsid w:val="000E4094"/>
    <w:rsid w:val="001162FA"/>
    <w:rsid w:val="00121E3F"/>
    <w:rsid w:val="00146B30"/>
    <w:rsid w:val="00160439"/>
    <w:rsid w:val="001960BF"/>
    <w:rsid w:val="001B5FC0"/>
    <w:rsid w:val="001C7D36"/>
    <w:rsid w:val="001F5AEA"/>
    <w:rsid w:val="0021700A"/>
    <w:rsid w:val="00241E17"/>
    <w:rsid w:val="002566DB"/>
    <w:rsid w:val="00263E54"/>
    <w:rsid w:val="002935DE"/>
    <w:rsid w:val="00293615"/>
    <w:rsid w:val="00293DA4"/>
    <w:rsid w:val="002C16D6"/>
    <w:rsid w:val="00330FAA"/>
    <w:rsid w:val="0034570D"/>
    <w:rsid w:val="003464D3"/>
    <w:rsid w:val="003524DE"/>
    <w:rsid w:val="0035255D"/>
    <w:rsid w:val="003531F2"/>
    <w:rsid w:val="003539D0"/>
    <w:rsid w:val="00355A1B"/>
    <w:rsid w:val="00361505"/>
    <w:rsid w:val="003846C2"/>
    <w:rsid w:val="003858FE"/>
    <w:rsid w:val="00386C38"/>
    <w:rsid w:val="003A7BD9"/>
    <w:rsid w:val="003F48F6"/>
    <w:rsid w:val="00404811"/>
    <w:rsid w:val="00405C2C"/>
    <w:rsid w:val="00410F27"/>
    <w:rsid w:val="004115D6"/>
    <w:rsid w:val="00426386"/>
    <w:rsid w:val="00427706"/>
    <w:rsid w:val="00446510"/>
    <w:rsid w:val="004770CD"/>
    <w:rsid w:val="004A366D"/>
    <w:rsid w:val="004A47AE"/>
    <w:rsid w:val="004B14B3"/>
    <w:rsid w:val="004B155E"/>
    <w:rsid w:val="004B46E5"/>
    <w:rsid w:val="004D50DD"/>
    <w:rsid w:val="00543671"/>
    <w:rsid w:val="00547ECF"/>
    <w:rsid w:val="005531C9"/>
    <w:rsid w:val="00576044"/>
    <w:rsid w:val="0058532C"/>
    <w:rsid w:val="005A487F"/>
    <w:rsid w:val="005C4858"/>
    <w:rsid w:val="005C7821"/>
    <w:rsid w:val="005E0C8E"/>
    <w:rsid w:val="005F3D97"/>
    <w:rsid w:val="00601F84"/>
    <w:rsid w:val="00617807"/>
    <w:rsid w:val="00622259"/>
    <w:rsid w:val="00645242"/>
    <w:rsid w:val="00651817"/>
    <w:rsid w:val="006521ED"/>
    <w:rsid w:val="00660BC1"/>
    <w:rsid w:val="0068675A"/>
    <w:rsid w:val="00691CC7"/>
    <w:rsid w:val="00697799"/>
    <w:rsid w:val="00697E2F"/>
    <w:rsid w:val="006C1E59"/>
    <w:rsid w:val="006C1F8B"/>
    <w:rsid w:val="006E5B3E"/>
    <w:rsid w:val="006E75B5"/>
    <w:rsid w:val="007075FC"/>
    <w:rsid w:val="007137D4"/>
    <w:rsid w:val="00717E46"/>
    <w:rsid w:val="00732BBF"/>
    <w:rsid w:val="007405EF"/>
    <w:rsid w:val="00752AEF"/>
    <w:rsid w:val="0075497B"/>
    <w:rsid w:val="007561BA"/>
    <w:rsid w:val="00770E9D"/>
    <w:rsid w:val="00774122"/>
    <w:rsid w:val="00786F49"/>
    <w:rsid w:val="007B1F0E"/>
    <w:rsid w:val="007C3857"/>
    <w:rsid w:val="007D765A"/>
    <w:rsid w:val="007E76C7"/>
    <w:rsid w:val="007F3578"/>
    <w:rsid w:val="00802A48"/>
    <w:rsid w:val="0080535A"/>
    <w:rsid w:val="008322BB"/>
    <w:rsid w:val="0084650F"/>
    <w:rsid w:val="00847A7E"/>
    <w:rsid w:val="008639C4"/>
    <w:rsid w:val="00870B25"/>
    <w:rsid w:val="00892EDA"/>
    <w:rsid w:val="008A7164"/>
    <w:rsid w:val="008E3748"/>
    <w:rsid w:val="008E4B39"/>
    <w:rsid w:val="008F7E82"/>
    <w:rsid w:val="0090614F"/>
    <w:rsid w:val="009156AA"/>
    <w:rsid w:val="00931A88"/>
    <w:rsid w:val="00950240"/>
    <w:rsid w:val="009572D7"/>
    <w:rsid w:val="0098498B"/>
    <w:rsid w:val="00985DB4"/>
    <w:rsid w:val="00986D03"/>
    <w:rsid w:val="00996061"/>
    <w:rsid w:val="009D4196"/>
    <w:rsid w:val="009D7D45"/>
    <w:rsid w:val="009E405C"/>
    <w:rsid w:val="00A05FF6"/>
    <w:rsid w:val="00A20F40"/>
    <w:rsid w:val="00A34AB0"/>
    <w:rsid w:val="00A52AF1"/>
    <w:rsid w:val="00A70006"/>
    <w:rsid w:val="00A77905"/>
    <w:rsid w:val="00A83E34"/>
    <w:rsid w:val="00AB3D7E"/>
    <w:rsid w:val="00AC58D4"/>
    <w:rsid w:val="00AE5AAF"/>
    <w:rsid w:val="00B00EE8"/>
    <w:rsid w:val="00B15C48"/>
    <w:rsid w:val="00B60AF8"/>
    <w:rsid w:val="00BA2174"/>
    <w:rsid w:val="00BC4D0A"/>
    <w:rsid w:val="00BD1729"/>
    <w:rsid w:val="00BE1110"/>
    <w:rsid w:val="00C15A93"/>
    <w:rsid w:val="00C2182D"/>
    <w:rsid w:val="00C41EAA"/>
    <w:rsid w:val="00C61D0A"/>
    <w:rsid w:val="00C64D28"/>
    <w:rsid w:val="00C75341"/>
    <w:rsid w:val="00CC38F8"/>
    <w:rsid w:val="00CE00AA"/>
    <w:rsid w:val="00CE3B86"/>
    <w:rsid w:val="00D1387C"/>
    <w:rsid w:val="00D543FB"/>
    <w:rsid w:val="00D5663E"/>
    <w:rsid w:val="00D5699E"/>
    <w:rsid w:val="00D87E8C"/>
    <w:rsid w:val="00D93511"/>
    <w:rsid w:val="00DB133A"/>
    <w:rsid w:val="00DC0C1B"/>
    <w:rsid w:val="00DC0C44"/>
    <w:rsid w:val="00DC1107"/>
    <w:rsid w:val="00DE3995"/>
    <w:rsid w:val="00DF3A88"/>
    <w:rsid w:val="00E14173"/>
    <w:rsid w:val="00E201FB"/>
    <w:rsid w:val="00E2131E"/>
    <w:rsid w:val="00E240EE"/>
    <w:rsid w:val="00E36E3B"/>
    <w:rsid w:val="00E519FB"/>
    <w:rsid w:val="00E51F1D"/>
    <w:rsid w:val="00E55894"/>
    <w:rsid w:val="00E919BB"/>
    <w:rsid w:val="00E923FB"/>
    <w:rsid w:val="00EB0422"/>
    <w:rsid w:val="00EC1B23"/>
    <w:rsid w:val="00EC5F30"/>
    <w:rsid w:val="00ED13EB"/>
    <w:rsid w:val="00ED36C0"/>
    <w:rsid w:val="00EE0602"/>
    <w:rsid w:val="00EF10D9"/>
    <w:rsid w:val="00EF2C25"/>
    <w:rsid w:val="00F05802"/>
    <w:rsid w:val="00F134EB"/>
    <w:rsid w:val="00F44ED7"/>
    <w:rsid w:val="00F528D9"/>
    <w:rsid w:val="00F656FF"/>
    <w:rsid w:val="00F96F32"/>
    <w:rsid w:val="00FD0070"/>
    <w:rsid w:val="00FD2675"/>
    <w:rsid w:val="00FE4B2E"/>
    <w:rsid w:val="01113D6B"/>
    <w:rsid w:val="011473B7"/>
    <w:rsid w:val="011E3D92"/>
    <w:rsid w:val="012242D3"/>
    <w:rsid w:val="012D25A3"/>
    <w:rsid w:val="013D404E"/>
    <w:rsid w:val="01863F3E"/>
    <w:rsid w:val="01A10F4D"/>
    <w:rsid w:val="01A94543"/>
    <w:rsid w:val="01B91D0C"/>
    <w:rsid w:val="01C402E0"/>
    <w:rsid w:val="01CA4FF9"/>
    <w:rsid w:val="01E368CF"/>
    <w:rsid w:val="02026FF4"/>
    <w:rsid w:val="02117F3E"/>
    <w:rsid w:val="023A6831"/>
    <w:rsid w:val="02497534"/>
    <w:rsid w:val="024E06A7"/>
    <w:rsid w:val="0261019D"/>
    <w:rsid w:val="026305F6"/>
    <w:rsid w:val="02646AD1"/>
    <w:rsid w:val="02673100"/>
    <w:rsid w:val="02685154"/>
    <w:rsid w:val="026D6F6D"/>
    <w:rsid w:val="026E0D49"/>
    <w:rsid w:val="027B2619"/>
    <w:rsid w:val="027C16B8"/>
    <w:rsid w:val="027E4FEB"/>
    <w:rsid w:val="028642E4"/>
    <w:rsid w:val="02867E41"/>
    <w:rsid w:val="02A429BD"/>
    <w:rsid w:val="02AF33FB"/>
    <w:rsid w:val="02C848FD"/>
    <w:rsid w:val="02CA1054"/>
    <w:rsid w:val="02CF7A3A"/>
    <w:rsid w:val="02F63EC7"/>
    <w:rsid w:val="02FC45A7"/>
    <w:rsid w:val="03351867"/>
    <w:rsid w:val="0339443C"/>
    <w:rsid w:val="033C49A3"/>
    <w:rsid w:val="03512E01"/>
    <w:rsid w:val="03607D89"/>
    <w:rsid w:val="0370464D"/>
    <w:rsid w:val="037C7496"/>
    <w:rsid w:val="03824AAC"/>
    <w:rsid w:val="039E5183"/>
    <w:rsid w:val="03A74512"/>
    <w:rsid w:val="03A82039"/>
    <w:rsid w:val="03AC7CC6"/>
    <w:rsid w:val="03C02B18"/>
    <w:rsid w:val="03C926DB"/>
    <w:rsid w:val="03D33559"/>
    <w:rsid w:val="03DD0BF2"/>
    <w:rsid w:val="03E44D1C"/>
    <w:rsid w:val="03F90AE6"/>
    <w:rsid w:val="03FA11F4"/>
    <w:rsid w:val="041B73DF"/>
    <w:rsid w:val="042B5143"/>
    <w:rsid w:val="04806B11"/>
    <w:rsid w:val="048B5BE2"/>
    <w:rsid w:val="048D195A"/>
    <w:rsid w:val="049408A2"/>
    <w:rsid w:val="04A3117E"/>
    <w:rsid w:val="04A61ACB"/>
    <w:rsid w:val="04BC3FEE"/>
    <w:rsid w:val="04C609C8"/>
    <w:rsid w:val="04DA26C6"/>
    <w:rsid w:val="04E70360"/>
    <w:rsid w:val="04FF3EDA"/>
    <w:rsid w:val="052851DF"/>
    <w:rsid w:val="052B1173"/>
    <w:rsid w:val="053242B0"/>
    <w:rsid w:val="05353DA0"/>
    <w:rsid w:val="05656433"/>
    <w:rsid w:val="058F23FE"/>
    <w:rsid w:val="058F525E"/>
    <w:rsid w:val="0599432F"/>
    <w:rsid w:val="05A14F91"/>
    <w:rsid w:val="05AF5900"/>
    <w:rsid w:val="05C56077"/>
    <w:rsid w:val="05DE1521"/>
    <w:rsid w:val="05DE61E6"/>
    <w:rsid w:val="05E05ABA"/>
    <w:rsid w:val="05E51322"/>
    <w:rsid w:val="05EA06E6"/>
    <w:rsid w:val="05EA4B8A"/>
    <w:rsid w:val="05F415BD"/>
    <w:rsid w:val="05FD1199"/>
    <w:rsid w:val="06035C4C"/>
    <w:rsid w:val="060C4B01"/>
    <w:rsid w:val="06190FCC"/>
    <w:rsid w:val="06361B7E"/>
    <w:rsid w:val="063A1C97"/>
    <w:rsid w:val="06604C4F"/>
    <w:rsid w:val="066435D0"/>
    <w:rsid w:val="06677F89"/>
    <w:rsid w:val="066A1827"/>
    <w:rsid w:val="066F5090"/>
    <w:rsid w:val="067803E8"/>
    <w:rsid w:val="067F3525"/>
    <w:rsid w:val="06856661"/>
    <w:rsid w:val="069711C4"/>
    <w:rsid w:val="06AC3C62"/>
    <w:rsid w:val="06B60761"/>
    <w:rsid w:val="06B91C2F"/>
    <w:rsid w:val="06F76E3E"/>
    <w:rsid w:val="07195727"/>
    <w:rsid w:val="073F5190"/>
    <w:rsid w:val="074A2CCC"/>
    <w:rsid w:val="07A019A5"/>
    <w:rsid w:val="07A11279"/>
    <w:rsid w:val="07A34FF1"/>
    <w:rsid w:val="07AD5403"/>
    <w:rsid w:val="07C42D59"/>
    <w:rsid w:val="07C73702"/>
    <w:rsid w:val="08071A24"/>
    <w:rsid w:val="08096791"/>
    <w:rsid w:val="082D2605"/>
    <w:rsid w:val="08602EE2"/>
    <w:rsid w:val="08687FE8"/>
    <w:rsid w:val="089332B7"/>
    <w:rsid w:val="08947037"/>
    <w:rsid w:val="08A060F3"/>
    <w:rsid w:val="08AB6853"/>
    <w:rsid w:val="08CB2A51"/>
    <w:rsid w:val="08D613F6"/>
    <w:rsid w:val="08D62766"/>
    <w:rsid w:val="08E92ED7"/>
    <w:rsid w:val="08F221A1"/>
    <w:rsid w:val="08F4564A"/>
    <w:rsid w:val="08F4768C"/>
    <w:rsid w:val="091B505B"/>
    <w:rsid w:val="09260C87"/>
    <w:rsid w:val="0932487E"/>
    <w:rsid w:val="0935611C"/>
    <w:rsid w:val="09376242"/>
    <w:rsid w:val="093A1985"/>
    <w:rsid w:val="093A7BD7"/>
    <w:rsid w:val="0945297E"/>
    <w:rsid w:val="095B7EF6"/>
    <w:rsid w:val="09646481"/>
    <w:rsid w:val="096D58B6"/>
    <w:rsid w:val="096F4B7A"/>
    <w:rsid w:val="0999155E"/>
    <w:rsid w:val="09A60DC8"/>
    <w:rsid w:val="09A6701A"/>
    <w:rsid w:val="09A97D24"/>
    <w:rsid w:val="09E355A2"/>
    <w:rsid w:val="09ED69F7"/>
    <w:rsid w:val="09FD5E99"/>
    <w:rsid w:val="0A026B83"/>
    <w:rsid w:val="0A0A75A9"/>
    <w:rsid w:val="0A1641A0"/>
    <w:rsid w:val="0A207D24"/>
    <w:rsid w:val="0A304649"/>
    <w:rsid w:val="0A3665F0"/>
    <w:rsid w:val="0A397E8E"/>
    <w:rsid w:val="0A4B7CC0"/>
    <w:rsid w:val="0A4F2A65"/>
    <w:rsid w:val="0A5B7E05"/>
    <w:rsid w:val="0A5C3924"/>
    <w:rsid w:val="0A9926DB"/>
    <w:rsid w:val="0ACC485F"/>
    <w:rsid w:val="0AEA348E"/>
    <w:rsid w:val="0AF03C9D"/>
    <w:rsid w:val="0B332BCD"/>
    <w:rsid w:val="0B6D5629"/>
    <w:rsid w:val="0B9835AC"/>
    <w:rsid w:val="0B9A670B"/>
    <w:rsid w:val="0BBC48D3"/>
    <w:rsid w:val="0BCD6AE0"/>
    <w:rsid w:val="0BEF6A57"/>
    <w:rsid w:val="0BF277E3"/>
    <w:rsid w:val="0C037742"/>
    <w:rsid w:val="0C104C1F"/>
    <w:rsid w:val="0C122745"/>
    <w:rsid w:val="0C3E79DE"/>
    <w:rsid w:val="0C4D19CF"/>
    <w:rsid w:val="0C601702"/>
    <w:rsid w:val="0C765D1C"/>
    <w:rsid w:val="0C774C9E"/>
    <w:rsid w:val="0C782EF0"/>
    <w:rsid w:val="0C880C59"/>
    <w:rsid w:val="0C8F023A"/>
    <w:rsid w:val="0C93084F"/>
    <w:rsid w:val="0C9F5D64"/>
    <w:rsid w:val="0CAB56D9"/>
    <w:rsid w:val="0CC25F19"/>
    <w:rsid w:val="0CE21C0E"/>
    <w:rsid w:val="0CEE31B2"/>
    <w:rsid w:val="0CF37B26"/>
    <w:rsid w:val="0CFD51A3"/>
    <w:rsid w:val="0D004C93"/>
    <w:rsid w:val="0D372EF8"/>
    <w:rsid w:val="0D70261C"/>
    <w:rsid w:val="0D8B27AF"/>
    <w:rsid w:val="0D985A2E"/>
    <w:rsid w:val="0DA10224"/>
    <w:rsid w:val="0DA6583B"/>
    <w:rsid w:val="0DED5218"/>
    <w:rsid w:val="0E007FDB"/>
    <w:rsid w:val="0E0F33E0"/>
    <w:rsid w:val="0E1D761F"/>
    <w:rsid w:val="0E320E7D"/>
    <w:rsid w:val="0E325320"/>
    <w:rsid w:val="0E41629B"/>
    <w:rsid w:val="0E4B409E"/>
    <w:rsid w:val="0E581951"/>
    <w:rsid w:val="0E680D42"/>
    <w:rsid w:val="0E6E1B81"/>
    <w:rsid w:val="0E746948"/>
    <w:rsid w:val="0E9062E0"/>
    <w:rsid w:val="0EA21E0A"/>
    <w:rsid w:val="0EBC15D9"/>
    <w:rsid w:val="0EDA356D"/>
    <w:rsid w:val="0EE15BE2"/>
    <w:rsid w:val="0EE26D46"/>
    <w:rsid w:val="0EF425D6"/>
    <w:rsid w:val="0EF56A7A"/>
    <w:rsid w:val="0EF95E3E"/>
    <w:rsid w:val="0F0A004B"/>
    <w:rsid w:val="0F474DFC"/>
    <w:rsid w:val="0F55473D"/>
    <w:rsid w:val="0F5D017B"/>
    <w:rsid w:val="0F5F5CA1"/>
    <w:rsid w:val="0F806E95"/>
    <w:rsid w:val="0F882DE1"/>
    <w:rsid w:val="0F941963"/>
    <w:rsid w:val="0FB75ADD"/>
    <w:rsid w:val="0FC1748F"/>
    <w:rsid w:val="0FD42B11"/>
    <w:rsid w:val="0FEC3FE2"/>
    <w:rsid w:val="0FFA3C1C"/>
    <w:rsid w:val="1005721E"/>
    <w:rsid w:val="100C62CC"/>
    <w:rsid w:val="101E5B5C"/>
    <w:rsid w:val="101F1B29"/>
    <w:rsid w:val="102D5D9F"/>
    <w:rsid w:val="10523A58"/>
    <w:rsid w:val="10545A22"/>
    <w:rsid w:val="10784632"/>
    <w:rsid w:val="108B0D18"/>
    <w:rsid w:val="108D3190"/>
    <w:rsid w:val="1090082E"/>
    <w:rsid w:val="109F661A"/>
    <w:rsid w:val="10D601E5"/>
    <w:rsid w:val="10DB3A4D"/>
    <w:rsid w:val="10E87F18"/>
    <w:rsid w:val="10F468BD"/>
    <w:rsid w:val="1125116C"/>
    <w:rsid w:val="112F5DC6"/>
    <w:rsid w:val="1131747D"/>
    <w:rsid w:val="11765EC5"/>
    <w:rsid w:val="117E0F05"/>
    <w:rsid w:val="118B0D7C"/>
    <w:rsid w:val="11902A8A"/>
    <w:rsid w:val="11AF42F6"/>
    <w:rsid w:val="11B049D9"/>
    <w:rsid w:val="11CC4C8A"/>
    <w:rsid w:val="11D230A2"/>
    <w:rsid w:val="11E132E5"/>
    <w:rsid w:val="11E2224A"/>
    <w:rsid w:val="11E75F8C"/>
    <w:rsid w:val="11F757A1"/>
    <w:rsid w:val="12182B91"/>
    <w:rsid w:val="12307DC9"/>
    <w:rsid w:val="12327966"/>
    <w:rsid w:val="12331667"/>
    <w:rsid w:val="12377D96"/>
    <w:rsid w:val="123F5FC1"/>
    <w:rsid w:val="12415B32"/>
    <w:rsid w:val="124E024F"/>
    <w:rsid w:val="125137DB"/>
    <w:rsid w:val="12543AB7"/>
    <w:rsid w:val="125B0153"/>
    <w:rsid w:val="12655CC4"/>
    <w:rsid w:val="12837EF9"/>
    <w:rsid w:val="12CD5791"/>
    <w:rsid w:val="12E03FEB"/>
    <w:rsid w:val="1307413E"/>
    <w:rsid w:val="13115491"/>
    <w:rsid w:val="132541A5"/>
    <w:rsid w:val="133B575F"/>
    <w:rsid w:val="1340228E"/>
    <w:rsid w:val="138923BD"/>
    <w:rsid w:val="13913184"/>
    <w:rsid w:val="13921540"/>
    <w:rsid w:val="139525D9"/>
    <w:rsid w:val="139E304F"/>
    <w:rsid w:val="13EB3FA7"/>
    <w:rsid w:val="1409259B"/>
    <w:rsid w:val="140B6E42"/>
    <w:rsid w:val="14223741"/>
    <w:rsid w:val="143A0DE1"/>
    <w:rsid w:val="14495172"/>
    <w:rsid w:val="144E59F3"/>
    <w:rsid w:val="14641C87"/>
    <w:rsid w:val="147937A9"/>
    <w:rsid w:val="14C33176"/>
    <w:rsid w:val="14C604EF"/>
    <w:rsid w:val="14C64A14"/>
    <w:rsid w:val="14D336C8"/>
    <w:rsid w:val="14E1184E"/>
    <w:rsid w:val="14E5491C"/>
    <w:rsid w:val="14F34155"/>
    <w:rsid w:val="1505553D"/>
    <w:rsid w:val="150A2B53"/>
    <w:rsid w:val="150B6CB2"/>
    <w:rsid w:val="15442DF3"/>
    <w:rsid w:val="15590143"/>
    <w:rsid w:val="157706B1"/>
    <w:rsid w:val="157955E3"/>
    <w:rsid w:val="158F5592"/>
    <w:rsid w:val="159D2E91"/>
    <w:rsid w:val="15A308B2"/>
    <w:rsid w:val="15C54CCC"/>
    <w:rsid w:val="15CA22E2"/>
    <w:rsid w:val="15E65FFF"/>
    <w:rsid w:val="16013F56"/>
    <w:rsid w:val="16023FC6"/>
    <w:rsid w:val="16255D30"/>
    <w:rsid w:val="162B1266"/>
    <w:rsid w:val="16351E52"/>
    <w:rsid w:val="164E0355"/>
    <w:rsid w:val="166C09FE"/>
    <w:rsid w:val="166E61B7"/>
    <w:rsid w:val="167209B0"/>
    <w:rsid w:val="16783AEC"/>
    <w:rsid w:val="167F30CD"/>
    <w:rsid w:val="168E1562"/>
    <w:rsid w:val="16ED6288"/>
    <w:rsid w:val="171001C9"/>
    <w:rsid w:val="171B1048"/>
    <w:rsid w:val="172F756B"/>
    <w:rsid w:val="17321EED"/>
    <w:rsid w:val="173D6BC5"/>
    <w:rsid w:val="175920FB"/>
    <w:rsid w:val="1763654B"/>
    <w:rsid w:val="17656D3F"/>
    <w:rsid w:val="177B7D38"/>
    <w:rsid w:val="178B7795"/>
    <w:rsid w:val="179D7CAF"/>
    <w:rsid w:val="17B14443"/>
    <w:rsid w:val="17C074F9"/>
    <w:rsid w:val="17C37D1A"/>
    <w:rsid w:val="17C74D2B"/>
    <w:rsid w:val="17C92852"/>
    <w:rsid w:val="17D03BBE"/>
    <w:rsid w:val="17E23913"/>
    <w:rsid w:val="17EB544A"/>
    <w:rsid w:val="180A2E6A"/>
    <w:rsid w:val="18135686"/>
    <w:rsid w:val="18216983"/>
    <w:rsid w:val="182E3C10"/>
    <w:rsid w:val="18364839"/>
    <w:rsid w:val="183D2675"/>
    <w:rsid w:val="18512847"/>
    <w:rsid w:val="18646511"/>
    <w:rsid w:val="18653B5E"/>
    <w:rsid w:val="1897327F"/>
    <w:rsid w:val="18A672DD"/>
    <w:rsid w:val="18B339AC"/>
    <w:rsid w:val="18C87522"/>
    <w:rsid w:val="18F71640"/>
    <w:rsid w:val="18FF22A3"/>
    <w:rsid w:val="19095749"/>
    <w:rsid w:val="190D0D70"/>
    <w:rsid w:val="193C57D1"/>
    <w:rsid w:val="194A1770"/>
    <w:rsid w:val="194C6630"/>
    <w:rsid w:val="197467ED"/>
    <w:rsid w:val="197D6170"/>
    <w:rsid w:val="198C1D89"/>
    <w:rsid w:val="19950393"/>
    <w:rsid w:val="19973F5D"/>
    <w:rsid w:val="19992908"/>
    <w:rsid w:val="19DD25E4"/>
    <w:rsid w:val="19E020D4"/>
    <w:rsid w:val="19E41BC5"/>
    <w:rsid w:val="1A0851FD"/>
    <w:rsid w:val="1A0A03DC"/>
    <w:rsid w:val="1A0B10AF"/>
    <w:rsid w:val="1A3B730B"/>
    <w:rsid w:val="1ABF37E4"/>
    <w:rsid w:val="1ACE017F"/>
    <w:rsid w:val="1AE95D02"/>
    <w:rsid w:val="1AF748D6"/>
    <w:rsid w:val="1AFC1A0B"/>
    <w:rsid w:val="1B0B6A26"/>
    <w:rsid w:val="1B324BB2"/>
    <w:rsid w:val="1B3B3097"/>
    <w:rsid w:val="1B455918"/>
    <w:rsid w:val="1B4755B0"/>
    <w:rsid w:val="1B6F3710"/>
    <w:rsid w:val="1BA92C8A"/>
    <w:rsid w:val="1BB43377"/>
    <w:rsid w:val="1C04330A"/>
    <w:rsid w:val="1C1B5646"/>
    <w:rsid w:val="1C1F5136"/>
    <w:rsid w:val="1C501CC9"/>
    <w:rsid w:val="1C93342E"/>
    <w:rsid w:val="1C9F1DD3"/>
    <w:rsid w:val="1CAE64BA"/>
    <w:rsid w:val="1CC967D5"/>
    <w:rsid w:val="1CD7709C"/>
    <w:rsid w:val="1CE123EB"/>
    <w:rsid w:val="1CEA5DAF"/>
    <w:rsid w:val="1D230C56"/>
    <w:rsid w:val="1D264379"/>
    <w:rsid w:val="1D345D94"/>
    <w:rsid w:val="1D525097"/>
    <w:rsid w:val="1D5A3F4C"/>
    <w:rsid w:val="1D6C6ACD"/>
    <w:rsid w:val="1D801E68"/>
    <w:rsid w:val="1DA43419"/>
    <w:rsid w:val="1DB63878"/>
    <w:rsid w:val="1DDF1FDE"/>
    <w:rsid w:val="1DF443A0"/>
    <w:rsid w:val="1DFE71E1"/>
    <w:rsid w:val="1E074D87"/>
    <w:rsid w:val="1E232C64"/>
    <w:rsid w:val="1E2A152E"/>
    <w:rsid w:val="1E2A1B70"/>
    <w:rsid w:val="1E2B7E0D"/>
    <w:rsid w:val="1E4A5D6E"/>
    <w:rsid w:val="1E4C5F8A"/>
    <w:rsid w:val="1E62755C"/>
    <w:rsid w:val="1E6F2707"/>
    <w:rsid w:val="1E74103D"/>
    <w:rsid w:val="1E7E1EBC"/>
    <w:rsid w:val="1E93220F"/>
    <w:rsid w:val="1E9845F0"/>
    <w:rsid w:val="1E9B2A6E"/>
    <w:rsid w:val="1EA5569B"/>
    <w:rsid w:val="1EB678A8"/>
    <w:rsid w:val="1EBA7398"/>
    <w:rsid w:val="1EC42711"/>
    <w:rsid w:val="1EC61CF2"/>
    <w:rsid w:val="1EE00481"/>
    <w:rsid w:val="1EE87470"/>
    <w:rsid w:val="1EE9453E"/>
    <w:rsid w:val="1EF76783"/>
    <w:rsid w:val="1F0028D1"/>
    <w:rsid w:val="1F0775AE"/>
    <w:rsid w:val="1F0E1492"/>
    <w:rsid w:val="1F2E5690"/>
    <w:rsid w:val="1F3A4035"/>
    <w:rsid w:val="1F5270A7"/>
    <w:rsid w:val="1F8C56BB"/>
    <w:rsid w:val="1F9C4CF0"/>
    <w:rsid w:val="1FB76572"/>
    <w:rsid w:val="1FBB1F08"/>
    <w:rsid w:val="1FC102B2"/>
    <w:rsid w:val="1FCD7037"/>
    <w:rsid w:val="1FD00E7A"/>
    <w:rsid w:val="1FE219A2"/>
    <w:rsid w:val="1FEC1E29"/>
    <w:rsid w:val="1FEE5B4D"/>
    <w:rsid w:val="1FF40688"/>
    <w:rsid w:val="1FFC6673"/>
    <w:rsid w:val="201B06D4"/>
    <w:rsid w:val="2020322B"/>
    <w:rsid w:val="203D4CE9"/>
    <w:rsid w:val="205729C5"/>
    <w:rsid w:val="20631369"/>
    <w:rsid w:val="20653333"/>
    <w:rsid w:val="208B184A"/>
    <w:rsid w:val="209462D2"/>
    <w:rsid w:val="209B0B03"/>
    <w:rsid w:val="20A57BD4"/>
    <w:rsid w:val="20C12C17"/>
    <w:rsid w:val="20C9541F"/>
    <w:rsid w:val="20CF6B6C"/>
    <w:rsid w:val="20D64231"/>
    <w:rsid w:val="20F87D04"/>
    <w:rsid w:val="20FD6018"/>
    <w:rsid w:val="2100305C"/>
    <w:rsid w:val="210927B1"/>
    <w:rsid w:val="21253295"/>
    <w:rsid w:val="212B2EF8"/>
    <w:rsid w:val="213D605E"/>
    <w:rsid w:val="214A0564"/>
    <w:rsid w:val="215D04AF"/>
    <w:rsid w:val="2164183D"/>
    <w:rsid w:val="21665F3D"/>
    <w:rsid w:val="21703D3E"/>
    <w:rsid w:val="219B4EB1"/>
    <w:rsid w:val="21A7622C"/>
    <w:rsid w:val="21DA38AD"/>
    <w:rsid w:val="21ED5A20"/>
    <w:rsid w:val="21F9502E"/>
    <w:rsid w:val="222443D1"/>
    <w:rsid w:val="2229591A"/>
    <w:rsid w:val="223221F0"/>
    <w:rsid w:val="224A2D4B"/>
    <w:rsid w:val="225759F2"/>
    <w:rsid w:val="2288155B"/>
    <w:rsid w:val="228F4698"/>
    <w:rsid w:val="22916662"/>
    <w:rsid w:val="2295732F"/>
    <w:rsid w:val="229E2B2D"/>
    <w:rsid w:val="22A0443E"/>
    <w:rsid w:val="22A4553F"/>
    <w:rsid w:val="22A54715"/>
    <w:rsid w:val="22B35470"/>
    <w:rsid w:val="22D24A4D"/>
    <w:rsid w:val="22E03145"/>
    <w:rsid w:val="22EE2E34"/>
    <w:rsid w:val="22FD3CF7"/>
    <w:rsid w:val="22FD7853"/>
    <w:rsid w:val="2304183A"/>
    <w:rsid w:val="230771E2"/>
    <w:rsid w:val="232C638A"/>
    <w:rsid w:val="23333912"/>
    <w:rsid w:val="233523C6"/>
    <w:rsid w:val="23482E6A"/>
    <w:rsid w:val="2367012C"/>
    <w:rsid w:val="23766BE4"/>
    <w:rsid w:val="23791FD4"/>
    <w:rsid w:val="237D6BE6"/>
    <w:rsid w:val="23994D67"/>
    <w:rsid w:val="23A45F21"/>
    <w:rsid w:val="23A86EA7"/>
    <w:rsid w:val="23CB7951"/>
    <w:rsid w:val="23E34C9B"/>
    <w:rsid w:val="23E630B0"/>
    <w:rsid w:val="240B41F2"/>
    <w:rsid w:val="241F6520"/>
    <w:rsid w:val="24213A15"/>
    <w:rsid w:val="24217571"/>
    <w:rsid w:val="2430799E"/>
    <w:rsid w:val="243674C1"/>
    <w:rsid w:val="2460571C"/>
    <w:rsid w:val="246D0A09"/>
    <w:rsid w:val="24753021"/>
    <w:rsid w:val="24857B00"/>
    <w:rsid w:val="249F3086"/>
    <w:rsid w:val="24B74304"/>
    <w:rsid w:val="24C148B0"/>
    <w:rsid w:val="24C7130C"/>
    <w:rsid w:val="24E011DB"/>
    <w:rsid w:val="24F0721C"/>
    <w:rsid w:val="24F86524"/>
    <w:rsid w:val="24F9229C"/>
    <w:rsid w:val="251672D8"/>
    <w:rsid w:val="253432D4"/>
    <w:rsid w:val="25381017"/>
    <w:rsid w:val="253C0A50"/>
    <w:rsid w:val="25493224"/>
    <w:rsid w:val="25535E50"/>
    <w:rsid w:val="256423B8"/>
    <w:rsid w:val="25714529"/>
    <w:rsid w:val="258B383C"/>
    <w:rsid w:val="25A50535"/>
    <w:rsid w:val="25A62424"/>
    <w:rsid w:val="25C3757F"/>
    <w:rsid w:val="25CC606F"/>
    <w:rsid w:val="25E371D4"/>
    <w:rsid w:val="25FE0729"/>
    <w:rsid w:val="260D24A3"/>
    <w:rsid w:val="261C7F90"/>
    <w:rsid w:val="261F5DB8"/>
    <w:rsid w:val="263D0082"/>
    <w:rsid w:val="264D6D44"/>
    <w:rsid w:val="26527C90"/>
    <w:rsid w:val="26527EB6"/>
    <w:rsid w:val="26555BF8"/>
    <w:rsid w:val="265C0D35"/>
    <w:rsid w:val="26A10E3D"/>
    <w:rsid w:val="26A90EF3"/>
    <w:rsid w:val="26BD5C77"/>
    <w:rsid w:val="26CD39E1"/>
    <w:rsid w:val="26D134D1"/>
    <w:rsid w:val="26D7660D"/>
    <w:rsid w:val="26E5365D"/>
    <w:rsid w:val="26F64CE5"/>
    <w:rsid w:val="270B6448"/>
    <w:rsid w:val="270F3FF7"/>
    <w:rsid w:val="271D4220"/>
    <w:rsid w:val="271D6716"/>
    <w:rsid w:val="272A0E33"/>
    <w:rsid w:val="27313F6F"/>
    <w:rsid w:val="274526B5"/>
    <w:rsid w:val="2748083B"/>
    <w:rsid w:val="27680FB1"/>
    <w:rsid w:val="27693709"/>
    <w:rsid w:val="27B4439C"/>
    <w:rsid w:val="27C375BA"/>
    <w:rsid w:val="27C413FC"/>
    <w:rsid w:val="27CC1EEA"/>
    <w:rsid w:val="27D05536"/>
    <w:rsid w:val="27D74B17"/>
    <w:rsid w:val="27F03E2A"/>
    <w:rsid w:val="27FE162A"/>
    <w:rsid w:val="27FF406E"/>
    <w:rsid w:val="280E605F"/>
    <w:rsid w:val="281177B6"/>
    <w:rsid w:val="28306FBE"/>
    <w:rsid w:val="28317223"/>
    <w:rsid w:val="28447C1A"/>
    <w:rsid w:val="2849377F"/>
    <w:rsid w:val="2890116A"/>
    <w:rsid w:val="28C45002"/>
    <w:rsid w:val="28C80903"/>
    <w:rsid w:val="28D0499E"/>
    <w:rsid w:val="28F33BD2"/>
    <w:rsid w:val="29056790"/>
    <w:rsid w:val="290A4A78"/>
    <w:rsid w:val="291678C1"/>
    <w:rsid w:val="291E6775"/>
    <w:rsid w:val="2940049A"/>
    <w:rsid w:val="294139FF"/>
    <w:rsid w:val="29421067"/>
    <w:rsid w:val="2946603C"/>
    <w:rsid w:val="29564161"/>
    <w:rsid w:val="296F219C"/>
    <w:rsid w:val="298F1421"/>
    <w:rsid w:val="29D86924"/>
    <w:rsid w:val="29E522C3"/>
    <w:rsid w:val="2A156BB2"/>
    <w:rsid w:val="2A25492C"/>
    <w:rsid w:val="2A2730C2"/>
    <w:rsid w:val="2A4915D0"/>
    <w:rsid w:val="2A5306A1"/>
    <w:rsid w:val="2A5341FD"/>
    <w:rsid w:val="2A605A4C"/>
    <w:rsid w:val="2A862824"/>
    <w:rsid w:val="2A97058D"/>
    <w:rsid w:val="2A9C2048"/>
    <w:rsid w:val="2ABC6246"/>
    <w:rsid w:val="2AC5334C"/>
    <w:rsid w:val="2AD74E2E"/>
    <w:rsid w:val="2AD839F2"/>
    <w:rsid w:val="2ADC55F5"/>
    <w:rsid w:val="2AE82B97"/>
    <w:rsid w:val="2AF41E66"/>
    <w:rsid w:val="2AF7102C"/>
    <w:rsid w:val="2AFB61EA"/>
    <w:rsid w:val="2B2D4A4E"/>
    <w:rsid w:val="2B4D650E"/>
    <w:rsid w:val="2B597F39"/>
    <w:rsid w:val="2B5E554F"/>
    <w:rsid w:val="2B626DED"/>
    <w:rsid w:val="2BA2121F"/>
    <w:rsid w:val="2BA3072A"/>
    <w:rsid w:val="2BC5112A"/>
    <w:rsid w:val="2BCF1FA9"/>
    <w:rsid w:val="2BE05E12"/>
    <w:rsid w:val="2BE710A1"/>
    <w:rsid w:val="2BF33EE9"/>
    <w:rsid w:val="2C00743F"/>
    <w:rsid w:val="2C146ED3"/>
    <w:rsid w:val="2C293467"/>
    <w:rsid w:val="2C377EE4"/>
    <w:rsid w:val="2C3C763E"/>
    <w:rsid w:val="2C7768C8"/>
    <w:rsid w:val="2C804183"/>
    <w:rsid w:val="2C923702"/>
    <w:rsid w:val="2CAA5733"/>
    <w:rsid w:val="2CD5539D"/>
    <w:rsid w:val="2D046E49"/>
    <w:rsid w:val="2D0A3299"/>
    <w:rsid w:val="2D0D7A22"/>
    <w:rsid w:val="2D0F6B01"/>
    <w:rsid w:val="2D422963"/>
    <w:rsid w:val="2D572256"/>
    <w:rsid w:val="2D836CDC"/>
    <w:rsid w:val="2D9110BB"/>
    <w:rsid w:val="2D9D1B3A"/>
    <w:rsid w:val="2D9E1C33"/>
    <w:rsid w:val="2DA8422C"/>
    <w:rsid w:val="2DB43614"/>
    <w:rsid w:val="2DD33014"/>
    <w:rsid w:val="2DD61195"/>
    <w:rsid w:val="2DDC4F23"/>
    <w:rsid w:val="2DE24215"/>
    <w:rsid w:val="2E422F06"/>
    <w:rsid w:val="2E586286"/>
    <w:rsid w:val="2E680F57"/>
    <w:rsid w:val="2E8C236C"/>
    <w:rsid w:val="2E914F55"/>
    <w:rsid w:val="2E9279E9"/>
    <w:rsid w:val="2E980D78"/>
    <w:rsid w:val="2EA26F3D"/>
    <w:rsid w:val="2EA62491"/>
    <w:rsid w:val="2EC464F9"/>
    <w:rsid w:val="2ECB4CA9"/>
    <w:rsid w:val="2ED42292"/>
    <w:rsid w:val="2EE77B8E"/>
    <w:rsid w:val="2EEB0EA8"/>
    <w:rsid w:val="2EF55291"/>
    <w:rsid w:val="2EFC1307"/>
    <w:rsid w:val="2F04276D"/>
    <w:rsid w:val="2F0D52C2"/>
    <w:rsid w:val="2F2B399A"/>
    <w:rsid w:val="2F324D29"/>
    <w:rsid w:val="2F390790"/>
    <w:rsid w:val="2F5607A1"/>
    <w:rsid w:val="2F563E41"/>
    <w:rsid w:val="2F603644"/>
    <w:rsid w:val="2FBE7CB1"/>
    <w:rsid w:val="2FC040E2"/>
    <w:rsid w:val="2FCA71FD"/>
    <w:rsid w:val="2FD951A4"/>
    <w:rsid w:val="2FDD1D70"/>
    <w:rsid w:val="2FDE6C5E"/>
    <w:rsid w:val="2FDF1CE4"/>
    <w:rsid w:val="2FE0009C"/>
    <w:rsid w:val="2FE74442"/>
    <w:rsid w:val="2FEC77CB"/>
    <w:rsid w:val="2FF26266"/>
    <w:rsid w:val="30185CCC"/>
    <w:rsid w:val="30281C88"/>
    <w:rsid w:val="30627EB2"/>
    <w:rsid w:val="3069046A"/>
    <w:rsid w:val="30790E95"/>
    <w:rsid w:val="30822CB2"/>
    <w:rsid w:val="308A649E"/>
    <w:rsid w:val="30A17D93"/>
    <w:rsid w:val="30A45C84"/>
    <w:rsid w:val="30C776F3"/>
    <w:rsid w:val="30C95219"/>
    <w:rsid w:val="30D00144"/>
    <w:rsid w:val="30E3238A"/>
    <w:rsid w:val="30E67B79"/>
    <w:rsid w:val="30EB33E1"/>
    <w:rsid w:val="31090195"/>
    <w:rsid w:val="310C4884"/>
    <w:rsid w:val="311708D3"/>
    <w:rsid w:val="31195E63"/>
    <w:rsid w:val="31A72F68"/>
    <w:rsid w:val="31AA6DF8"/>
    <w:rsid w:val="31BA45B6"/>
    <w:rsid w:val="31BD2FCF"/>
    <w:rsid w:val="31C205E6"/>
    <w:rsid w:val="31D55B88"/>
    <w:rsid w:val="31DC2D6D"/>
    <w:rsid w:val="31F32403"/>
    <w:rsid w:val="31F85A57"/>
    <w:rsid w:val="322A7F39"/>
    <w:rsid w:val="32364B30"/>
    <w:rsid w:val="324234D5"/>
    <w:rsid w:val="32566F80"/>
    <w:rsid w:val="32595B29"/>
    <w:rsid w:val="32867865"/>
    <w:rsid w:val="3287538B"/>
    <w:rsid w:val="32CE6841"/>
    <w:rsid w:val="32D3237F"/>
    <w:rsid w:val="32EE0F67"/>
    <w:rsid w:val="332C3B92"/>
    <w:rsid w:val="333C0FBA"/>
    <w:rsid w:val="33510202"/>
    <w:rsid w:val="338A5133"/>
    <w:rsid w:val="339438A9"/>
    <w:rsid w:val="339C1E9D"/>
    <w:rsid w:val="33A930DF"/>
    <w:rsid w:val="33A95FE0"/>
    <w:rsid w:val="33C148CD"/>
    <w:rsid w:val="33D309A5"/>
    <w:rsid w:val="34182832"/>
    <w:rsid w:val="3421711A"/>
    <w:rsid w:val="34401C96"/>
    <w:rsid w:val="345D45F6"/>
    <w:rsid w:val="349D49F2"/>
    <w:rsid w:val="34A264AC"/>
    <w:rsid w:val="34B220A4"/>
    <w:rsid w:val="34B311A6"/>
    <w:rsid w:val="34BD5094"/>
    <w:rsid w:val="34CA155F"/>
    <w:rsid w:val="3500706D"/>
    <w:rsid w:val="3520237C"/>
    <w:rsid w:val="352073D1"/>
    <w:rsid w:val="35352E46"/>
    <w:rsid w:val="355C48AD"/>
    <w:rsid w:val="356F5F3D"/>
    <w:rsid w:val="358861CB"/>
    <w:rsid w:val="35B50461"/>
    <w:rsid w:val="35BF4E75"/>
    <w:rsid w:val="35ED7BFB"/>
    <w:rsid w:val="35F66AB0"/>
    <w:rsid w:val="3600641D"/>
    <w:rsid w:val="360147E3"/>
    <w:rsid w:val="360B0081"/>
    <w:rsid w:val="360E2FFA"/>
    <w:rsid w:val="36330102"/>
    <w:rsid w:val="36356998"/>
    <w:rsid w:val="363C648D"/>
    <w:rsid w:val="36525CB0"/>
    <w:rsid w:val="36545584"/>
    <w:rsid w:val="36717546"/>
    <w:rsid w:val="36766558"/>
    <w:rsid w:val="3699568D"/>
    <w:rsid w:val="369D6F2B"/>
    <w:rsid w:val="36B22972"/>
    <w:rsid w:val="36C175C6"/>
    <w:rsid w:val="36C546D4"/>
    <w:rsid w:val="37152F66"/>
    <w:rsid w:val="37265173"/>
    <w:rsid w:val="37377380"/>
    <w:rsid w:val="37405932"/>
    <w:rsid w:val="37590D17"/>
    <w:rsid w:val="376E08C8"/>
    <w:rsid w:val="37796E30"/>
    <w:rsid w:val="377C2FE5"/>
    <w:rsid w:val="377F5503"/>
    <w:rsid w:val="378E2D18"/>
    <w:rsid w:val="37912CB9"/>
    <w:rsid w:val="37A27F27"/>
    <w:rsid w:val="37A95DA4"/>
    <w:rsid w:val="37B3277F"/>
    <w:rsid w:val="37BD26D4"/>
    <w:rsid w:val="37C404E8"/>
    <w:rsid w:val="37D42E21"/>
    <w:rsid w:val="37DA4770"/>
    <w:rsid w:val="37DC1CD5"/>
    <w:rsid w:val="37DF23CF"/>
    <w:rsid w:val="37E73F09"/>
    <w:rsid w:val="37F012DD"/>
    <w:rsid w:val="3801173C"/>
    <w:rsid w:val="380D00E1"/>
    <w:rsid w:val="382C339F"/>
    <w:rsid w:val="384855BD"/>
    <w:rsid w:val="385555E4"/>
    <w:rsid w:val="3867684A"/>
    <w:rsid w:val="386A108F"/>
    <w:rsid w:val="387704E9"/>
    <w:rsid w:val="388C3D57"/>
    <w:rsid w:val="388D1222"/>
    <w:rsid w:val="388D7177"/>
    <w:rsid w:val="38A15FCE"/>
    <w:rsid w:val="38A24AD9"/>
    <w:rsid w:val="38A74091"/>
    <w:rsid w:val="38AA6CF9"/>
    <w:rsid w:val="38BC7B10"/>
    <w:rsid w:val="38D147F0"/>
    <w:rsid w:val="38D66725"/>
    <w:rsid w:val="38E4205E"/>
    <w:rsid w:val="38F35529"/>
    <w:rsid w:val="38F92413"/>
    <w:rsid w:val="390B0AC4"/>
    <w:rsid w:val="390E5EBF"/>
    <w:rsid w:val="39131727"/>
    <w:rsid w:val="3925145A"/>
    <w:rsid w:val="3934169D"/>
    <w:rsid w:val="393B1EAF"/>
    <w:rsid w:val="395064D7"/>
    <w:rsid w:val="395650D6"/>
    <w:rsid w:val="39673821"/>
    <w:rsid w:val="39677EBD"/>
    <w:rsid w:val="39700927"/>
    <w:rsid w:val="3986639D"/>
    <w:rsid w:val="39A405D1"/>
    <w:rsid w:val="39A607ED"/>
    <w:rsid w:val="39AB7BB1"/>
    <w:rsid w:val="39BB2E8F"/>
    <w:rsid w:val="39BC3B6C"/>
    <w:rsid w:val="39C01890"/>
    <w:rsid w:val="39D52E80"/>
    <w:rsid w:val="39D569DC"/>
    <w:rsid w:val="39D864CC"/>
    <w:rsid w:val="3A042348"/>
    <w:rsid w:val="3A137505"/>
    <w:rsid w:val="3A345DF9"/>
    <w:rsid w:val="3A390AA0"/>
    <w:rsid w:val="3A39639A"/>
    <w:rsid w:val="3A52627F"/>
    <w:rsid w:val="3A5531D9"/>
    <w:rsid w:val="3A5B05C0"/>
    <w:rsid w:val="3A60099C"/>
    <w:rsid w:val="3A7F7D1B"/>
    <w:rsid w:val="3A8C79E3"/>
    <w:rsid w:val="3AA0348E"/>
    <w:rsid w:val="3ADD1FEC"/>
    <w:rsid w:val="3AE570F3"/>
    <w:rsid w:val="3AF71EE5"/>
    <w:rsid w:val="3AFF5815"/>
    <w:rsid w:val="3B1672AC"/>
    <w:rsid w:val="3B2E2848"/>
    <w:rsid w:val="3B4007CD"/>
    <w:rsid w:val="3B40257B"/>
    <w:rsid w:val="3B650F46"/>
    <w:rsid w:val="3B673FAC"/>
    <w:rsid w:val="3B841221"/>
    <w:rsid w:val="3BA64AD4"/>
    <w:rsid w:val="3BA743A8"/>
    <w:rsid w:val="3BAC1758"/>
    <w:rsid w:val="3BAE774F"/>
    <w:rsid w:val="3BD258C9"/>
    <w:rsid w:val="3BF05D4F"/>
    <w:rsid w:val="3BF37EF0"/>
    <w:rsid w:val="3C0217FC"/>
    <w:rsid w:val="3C08753D"/>
    <w:rsid w:val="3C0D06AF"/>
    <w:rsid w:val="3C544530"/>
    <w:rsid w:val="3C677A85"/>
    <w:rsid w:val="3C690932"/>
    <w:rsid w:val="3C7C5835"/>
    <w:rsid w:val="3CA55BA0"/>
    <w:rsid w:val="3CC80A7A"/>
    <w:rsid w:val="3CF33D49"/>
    <w:rsid w:val="3CFC473A"/>
    <w:rsid w:val="3D014D50"/>
    <w:rsid w:val="3D08531B"/>
    <w:rsid w:val="3D0B460A"/>
    <w:rsid w:val="3D3842E3"/>
    <w:rsid w:val="3D3D3216"/>
    <w:rsid w:val="3D4E71D1"/>
    <w:rsid w:val="3D532A3A"/>
    <w:rsid w:val="3D712EC0"/>
    <w:rsid w:val="3D7139C0"/>
    <w:rsid w:val="3D7E2A95"/>
    <w:rsid w:val="3DA727B6"/>
    <w:rsid w:val="3DE15646"/>
    <w:rsid w:val="3E0219AF"/>
    <w:rsid w:val="3E1078AC"/>
    <w:rsid w:val="3E197F94"/>
    <w:rsid w:val="3E246184"/>
    <w:rsid w:val="3E2F4E6C"/>
    <w:rsid w:val="3E3839DE"/>
    <w:rsid w:val="3E55633E"/>
    <w:rsid w:val="3E6622F9"/>
    <w:rsid w:val="3E7C7D6E"/>
    <w:rsid w:val="3E921340"/>
    <w:rsid w:val="3E9A5F18"/>
    <w:rsid w:val="3EAD617A"/>
    <w:rsid w:val="3EAE33FB"/>
    <w:rsid w:val="3EB26A39"/>
    <w:rsid w:val="3ECC49B4"/>
    <w:rsid w:val="3EDC6A5F"/>
    <w:rsid w:val="3EF5147E"/>
    <w:rsid w:val="3F23468E"/>
    <w:rsid w:val="3F60143E"/>
    <w:rsid w:val="3F740A45"/>
    <w:rsid w:val="3FC76DC7"/>
    <w:rsid w:val="3FC9132A"/>
    <w:rsid w:val="3FCE45FA"/>
    <w:rsid w:val="3FED6C41"/>
    <w:rsid w:val="3FF102E8"/>
    <w:rsid w:val="400224F5"/>
    <w:rsid w:val="401A1410"/>
    <w:rsid w:val="402E6E46"/>
    <w:rsid w:val="40300E10"/>
    <w:rsid w:val="403948E8"/>
    <w:rsid w:val="404D317A"/>
    <w:rsid w:val="405A40DF"/>
    <w:rsid w:val="405F16F6"/>
    <w:rsid w:val="40624D42"/>
    <w:rsid w:val="407B5A86"/>
    <w:rsid w:val="407D392A"/>
    <w:rsid w:val="409F7D44"/>
    <w:rsid w:val="40A23390"/>
    <w:rsid w:val="40A54C1A"/>
    <w:rsid w:val="40A563D5"/>
    <w:rsid w:val="40AD6EF4"/>
    <w:rsid w:val="40B824AE"/>
    <w:rsid w:val="40BC4452"/>
    <w:rsid w:val="40D76E87"/>
    <w:rsid w:val="40FA2FB4"/>
    <w:rsid w:val="41401527"/>
    <w:rsid w:val="415428DD"/>
    <w:rsid w:val="41562AF9"/>
    <w:rsid w:val="415E19AD"/>
    <w:rsid w:val="4162324B"/>
    <w:rsid w:val="416B24DE"/>
    <w:rsid w:val="417411D1"/>
    <w:rsid w:val="41C0060F"/>
    <w:rsid w:val="41CE08E1"/>
    <w:rsid w:val="41DD6D76"/>
    <w:rsid w:val="41E77C57"/>
    <w:rsid w:val="41E83AD2"/>
    <w:rsid w:val="423D106D"/>
    <w:rsid w:val="4274119D"/>
    <w:rsid w:val="427F4B05"/>
    <w:rsid w:val="428E5183"/>
    <w:rsid w:val="42B82C6A"/>
    <w:rsid w:val="42C615B8"/>
    <w:rsid w:val="43370708"/>
    <w:rsid w:val="434075BC"/>
    <w:rsid w:val="43467258"/>
    <w:rsid w:val="435272F0"/>
    <w:rsid w:val="43550337"/>
    <w:rsid w:val="436458AA"/>
    <w:rsid w:val="43851473"/>
    <w:rsid w:val="43A01F6C"/>
    <w:rsid w:val="43AE36D9"/>
    <w:rsid w:val="43B65AD0"/>
    <w:rsid w:val="43BB30E7"/>
    <w:rsid w:val="43C91A95"/>
    <w:rsid w:val="43EF2D90"/>
    <w:rsid w:val="43F46405"/>
    <w:rsid w:val="44245691"/>
    <w:rsid w:val="442F3A74"/>
    <w:rsid w:val="443A16C8"/>
    <w:rsid w:val="444924A1"/>
    <w:rsid w:val="444F55DD"/>
    <w:rsid w:val="445552E9"/>
    <w:rsid w:val="446612A5"/>
    <w:rsid w:val="4481074A"/>
    <w:rsid w:val="4484797D"/>
    <w:rsid w:val="44894F93"/>
    <w:rsid w:val="449855E9"/>
    <w:rsid w:val="449B6F28"/>
    <w:rsid w:val="44B71B00"/>
    <w:rsid w:val="44D37FBC"/>
    <w:rsid w:val="44E776ED"/>
    <w:rsid w:val="44FB217C"/>
    <w:rsid w:val="44FC5765"/>
    <w:rsid w:val="4508235C"/>
    <w:rsid w:val="450B1E4C"/>
    <w:rsid w:val="450D7972"/>
    <w:rsid w:val="45230F44"/>
    <w:rsid w:val="453F4772"/>
    <w:rsid w:val="45594965"/>
    <w:rsid w:val="457572C5"/>
    <w:rsid w:val="457C68A6"/>
    <w:rsid w:val="45872F39"/>
    <w:rsid w:val="45A24E60"/>
    <w:rsid w:val="45B46040"/>
    <w:rsid w:val="45B7168C"/>
    <w:rsid w:val="45B8075E"/>
    <w:rsid w:val="45C930BB"/>
    <w:rsid w:val="45F75F2C"/>
    <w:rsid w:val="460D07EE"/>
    <w:rsid w:val="46274A64"/>
    <w:rsid w:val="463B2A6B"/>
    <w:rsid w:val="465D5444"/>
    <w:rsid w:val="466F0278"/>
    <w:rsid w:val="46704FD2"/>
    <w:rsid w:val="467A06A3"/>
    <w:rsid w:val="46972EF1"/>
    <w:rsid w:val="46E42955"/>
    <w:rsid w:val="46E72880"/>
    <w:rsid w:val="46F43381"/>
    <w:rsid w:val="4719454E"/>
    <w:rsid w:val="471C7624"/>
    <w:rsid w:val="474358CD"/>
    <w:rsid w:val="4746411D"/>
    <w:rsid w:val="474653BD"/>
    <w:rsid w:val="474C71FC"/>
    <w:rsid w:val="47576447"/>
    <w:rsid w:val="47607442"/>
    <w:rsid w:val="477E06B3"/>
    <w:rsid w:val="478005D2"/>
    <w:rsid w:val="479567AC"/>
    <w:rsid w:val="479608E9"/>
    <w:rsid w:val="47AA7CF4"/>
    <w:rsid w:val="47D26C51"/>
    <w:rsid w:val="47E66DF9"/>
    <w:rsid w:val="47F46BC7"/>
    <w:rsid w:val="4841202F"/>
    <w:rsid w:val="48541414"/>
    <w:rsid w:val="48607B38"/>
    <w:rsid w:val="488A4681"/>
    <w:rsid w:val="48914416"/>
    <w:rsid w:val="48942742"/>
    <w:rsid w:val="48B545A9"/>
    <w:rsid w:val="48B84099"/>
    <w:rsid w:val="48D20D62"/>
    <w:rsid w:val="48D507A7"/>
    <w:rsid w:val="48D8609D"/>
    <w:rsid w:val="48F0064E"/>
    <w:rsid w:val="48F6071D"/>
    <w:rsid w:val="49303016"/>
    <w:rsid w:val="493508A1"/>
    <w:rsid w:val="49540398"/>
    <w:rsid w:val="495F53B6"/>
    <w:rsid w:val="496658A3"/>
    <w:rsid w:val="49DF57C2"/>
    <w:rsid w:val="49F03426"/>
    <w:rsid w:val="49F16683"/>
    <w:rsid w:val="4A0330F2"/>
    <w:rsid w:val="4A1B668D"/>
    <w:rsid w:val="4A534079"/>
    <w:rsid w:val="4A630034"/>
    <w:rsid w:val="4A6F4C2B"/>
    <w:rsid w:val="4A887109"/>
    <w:rsid w:val="4AAB17DF"/>
    <w:rsid w:val="4AB4263E"/>
    <w:rsid w:val="4AE85262"/>
    <w:rsid w:val="4AFB026D"/>
    <w:rsid w:val="4B3C2D5F"/>
    <w:rsid w:val="4B6206CE"/>
    <w:rsid w:val="4B7324F9"/>
    <w:rsid w:val="4B751DCD"/>
    <w:rsid w:val="4B7D6ED4"/>
    <w:rsid w:val="4B8A1D1C"/>
    <w:rsid w:val="4B8B15F1"/>
    <w:rsid w:val="4BAA067E"/>
    <w:rsid w:val="4BD016F9"/>
    <w:rsid w:val="4BD411EA"/>
    <w:rsid w:val="4BD42F98"/>
    <w:rsid w:val="4BD51A25"/>
    <w:rsid w:val="4BDE7972"/>
    <w:rsid w:val="4BF058F8"/>
    <w:rsid w:val="4C0A69B9"/>
    <w:rsid w:val="4C3E0488"/>
    <w:rsid w:val="4C467582"/>
    <w:rsid w:val="4C560219"/>
    <w:rsid w:val="4C7D36E4"/>
    <w:rsid w:val="4C997E63"/>
    <w:rsid w:val="4CA54934"/>
    <w:rsid w:val="4CB25E3B"/>
    <w:rsid w:val="4CCC0113"/>
    <w:rsid w:val="4CE23326"/>
    <w:rsid w:val="4CE76CFB"/>
    <w:rsid w:val="4CE94821"/>
    <w:rsid w:val="4CEE7242"/>
    <w:rsid w:val="4D1F1116"/>
    <w:rsid w:val="4D2F41FE"/>
    <w:rsid w:val="4D537EEC"/>
    <w:rsid w:val="4D6420F9"/>
    <w:rsid w:val="4DA21884"/>
    <w:rsid w:val="4DA8648A"/>
    <w:rsid w:val="4DAC250E"/>
    <w:rsid w:val="4DB17DBB"/>
    <w:rsid w:val="4DBF37D4"/>
    <w:rsid w:val="4E173610"/>
    <w:rsid w:val="4E3B5550"/>
    <w:rsid w:val="4E3E294A"/>
    <w:rsid w:val="4E8925D0"/>
    <w:rsid w:val="4EB540B9"/>
    <w:rsid w:val="4EBE7D6E"/>
    <w:rsid w:val="4ECD1F20"/>
    <w:rsid w:val="4EDC57CC"/>
    <w:rsid w:val="4EE55386"/>
    <w:rsid w:val="4EEF00E8"/>
    <w:rsid w:val="4EF80C0A"/>
    <w:rsid w:val="4F0911AA"/>
    <w:rsid w:val="4F136F2D"/>
    <w:rsid w:val="4F212949"/>
    <w:rsid w:val="4F2935FA"/>
    <w:rsid w:val="4F42290E"/>
    <w:rsid w:val="4F563CC4"/>
    <w:rsid w:val="4F636399"/>
    <w:rsid w:val="4F7D5C83"/>
    <w:rsid w:val="4F7D74A2"/>
    <w:rsid w:val="4F9D7B44"/>
    <w:rsid w:val="4FA41C3C"/>
    <w:rsid w:val="4FC71035"/>
    <w:rsid w:val="4FDF1F0B"/>
    <w:rsid w:val="4FEE798B"/>
    <w:rsid w:val="4FF84D7B"/>
    <w:rsid w:val="5001505B"/>
    <w:rsid w:val="50015CA1"/>
    <w:rsid w:val="500B0F52"/>
    <w:rsid w:val="50123BAF"/>
    <w:rsid w:val="50463D38"/>
    <w:rsid w:val="504F7091"/>
    <w:rsid w:val="505869A7"/>
    <w:rsid w:val="506348EA"/>
    <w:rsid w:val="506A211C"/>
    <w:rsid w:val="508825A3"/>
    <w:rsid w:val="50A941CF"/>
    <w:rsid w:val="50AB5B9A"/>
    <w:rsid w:val="50BE4216"/>
    <w:rsid w:val="50C64E79"/>
    <w:rsid w:val="50D003F6"/>
    <w:rsid w:val="50D21A70"/>
    <w:rsid w:val="50D6444E"/>
    <w:rsid w:val="50E40EDF"/>
    <w:rsid w:val="50E61077"/>
    <w:rsid w:val="50E94FDF"/>
    <w:rsid w:val="510460CD"/>
    <w:rsid w:val="511D0F3D"/>
    <w:rsid w:val="51306ECF"/>
    <w:rsid w:val="5148003E"/>
    <w:rsid w:val="515F0DD2"/>
    <w:rsid w:val="51600E2A"/>
    <w:rsid w:val="516F72BF"/>
    <w:rsid w:val="517B7EEF"/>
    <w:rsid w:val="51984A67"/>
    <w:rsid w:val="51D979AA"/>
    <w:rsid w:val="51E740EB"/>
    <w:rsid w:val="51FB3C26"/>
    <w:rsid w:val="51FE227C"/>
    <w:rsid w:val="520D7203"/>
    <w:rsid w:val="52114E30"/>
    <w:rsid w:val="52363EF8"/>
    <w:rsid w:val="52483238"/>
    <w:rsid w:val="524E5126"/>
    <w:rsid w:val="525C788D"/>
    <w:rsid w:val="526112FD"/>
    <w:rsid w:val="5266638D"/>
    <w:rsid w:val="52701540"/>
    <w:rsid w:val="529521E8"/>
    <w:rsid w:val="52A1400C"/>
    <w:rsid w:val="52A70849"/>
    <w:rsid w:val="52D44123"/>
    <w:rsid w:val="52DC6BD6"/>
    <w:rsid w:val="52E71802"/>
    <w:rsid w:val="52E80861"/>
    <w:rsid w:val="53077DD7"/>
    <w:rsid w:val="53281E1B"/>
    <w:rsid w:val="53370627"/>
    <w:rsid w:val="5343618F"/>
    <w:rsid w:val="538A03E0"/>
    <w:rsid w:val="538A6632"/>
    <w:rsid w:val="539E41E5"/>
    <w:rsid w:val="53C03E02"/>
    <w:rsid w:val="53D77AC9"/>
    <w:rsid w:val="53E960D4"/>
    <w:rsid w:val="53EB70D0"/>
    <w:rsid w:val="54085ED4"/>
    <w:rsid w:val="54181E8F"/>
    <w:rsid w:val="54317472"/>
    <w:rsid w:val="54576514"/>
    <w:rsid w:val="54596730"/>
    <w:rsid w:val="547D72B6"/>
    <w:rsid w:val="548613F9"/>
    <w:rsid w:val="548968E9"/>
    <w:rsid w:val="548C3F56"/>
    <w:rsid w:val="54A836AF"/>
    <w:rsid w:val="54CA2CBB"/>
    <w:rsid w:val="54CA3A74"/>
    <w:rsid w:val="54CC26F2"/>
    <w:rsid w:val="54DA01E8"/>
    <w:rsid w:val="54DB5397"/>
    <w:rsid w:val="54DC0C56"/>
    <w:rsid w:val="54EA47DE"/>
    <w:rsid w:val="54FE1085"/>
    <w:rsid w:val="55060ACF"/>
    <w:rsid w:val="550F5041"/>
    <w:rsid w:val="551E1E45"/>
    <w:rsid w:val="5523289A"/>
    <w:rsid w:val="552A59D6"/>
    <w:rsid w:val="55342CF9"/>
    <w:rsid w:val="55393E6B"/>
    <w:rsid w:val="55432F3C"/>
    <w:rsid w:val="555D3FFE"/>
    <w:rsid w:val="55733821"/>
    <w:rsid w:val="55AF112B"/>
    <w:rsid w:val="55B177EA"/>
    <w:rsid w:val="55B915CA"/>
    <w:rsid w:val="55BB78E2"/>
    <w:rsid w:val="55C65193"/>
    <w:rsid w:val="55EB0F57"/>
    <w:rsid w:val="55FB14BD"/>
    <w:rsid w:val="55FD133D"/>
    <w:rsid w:val="55FD758F"/>
    <w:rsid w:val="560A4145"/>
    <w:rsid w:val="561B17C3"/>
    <w:rsid w:val="562D2C3C"/>
    <w:rsid w:val="56312D95"/>
    <w:rsid w:val="5637484F"/>
    <w:rsid w:val="564244DB"/>
    <w:rsid w:val="56486A5C"/>
    <w:rsid w:val="565A4B25"/>
    <w:rsid w:val="56A56043"/>
    <w:rsid w:val="56BE6D1E"/>
    <w:rsid w:val="56D54068"/>
    <w:rsid w:val="56D7393C"/>
    <w:rsid w:val="56E322E1"/>
    <w:rsid w:val="56ED315F"/>
    <w:rsid w:val="56EE32F7"/>
    <w:rsid w:val="56F57AE6"/>
    <w:rsid w:val="57104BA5"/>
    <w:rsid w:val="57127B5B"/>
    <w:rsid w:val="57165757"/>
    <w:rsid w:val="576F13A7"/>
    <w:rsid w:val="578C2978"/>
    <w:rsid w:val="57A52122"/>
    <w:rsid w:val="57AC50AC"/>
    <w:rsid w:val="57AD01B9"/>
    <w:rsid w:val="57B41ECF"/>
    <w:rsid w:val="57C87729"/>
    <w:rsid w:val="57E502DB"/>
    <w:rsid w:val="57EE78C8"/>
    <w:rsid w:val="58142FC9"/>
    <w:rsid w:val="581B5AAA"/>
    <w:rsid w:val="58331046"/>
    <w:rsid w:val="583628E4"/>
    <w:rsid w:val="584B301E"/>
    <w:rsid w:val="584F05EC"/>
    <w:rsid w:val="585726D9"/>
    <w:rsid w:val="586C27AA"/>
    <w:rsid w:val="586F2E42"/>
    <w:rsid w:val="58733B38"/>
    <w:rsid w:val="5878114F"/>
    <w:rsid w:val="58871392"/>
    <w:rsid w:val="58A20C16"/>
    <w:rsid w:val="58A75590"/>
    <w:rsid w:val="58AE4B70"/>
    <w:rsid w:val="58B71C77"/>
    <w:rsid w:val="58B879D2"/>
    <w:rsid w:val="58BC103B"/>
    <w:rsid w:val="58E660B8"/>
    <w:rsid w:val="58EB1921"/>
    <w:rsid w:val="58F35FDF"/>
    <w:rsid w:val="58FC58DC"/>
    <w:rsid w:val="59090D3D"/>
    <w:rsid w:val="591448F5"/>
    <w:rsid w:val="591712B0"/>
    <w:rsid w:val="59184025"/>
    <w:rsid w:val="59195F2B"/>
    <w:rsid w:val="592270F5"/>
    <w:rsid w:val="592B6F24"/>
    <w:rsid w:val="594C3BA4"/>
    <w:rsid w:val="594C55F4"/>
    <w:rsid w:val="594C7EF4"/>
    <w:rsid w:val="595443DC"/>
    <w:rsid w:val="59563C67"/>
    <w:rsid w:val="59D16D68"/>
    <w:rsid w:val="59E00D5A"/>
    <w:rsid w:val="5A14373D"/>
    <w:rsid w:val="5A1C3233"/>
    <w:rsid w:val="5A2E41BB"/>
    <w:rsid w:val="5A3E4763"/>
    <w:rsid w:val="5A4A4ED9"/>
    <w:rsid w:val="5A4B6B1B"/>
    <w:rsid w:val="5A6C28CC"/>
    <w:rsid w:val="5A6C59C5"/>
    <w:rsid w:val="5A6C7D35"/>
    <w:rsid w:val="5A700CE7"/>
    <w:rsid w:val="5A70654E"/>
    <w:rsid w:val="5A7D5D6E"/>
    <w:rsid w:val="5A8B0F90"/>
    <w:rsid w:val="5A8C6E2D"/>
    <w:rsid w:val="5AA955EF"/>
    <w:rsid w:val="5AB126F6"/>
    <w:rsid w:val="5ACE5056"/>
    <w:rsid w:val="5AD36B10"/>
    <w:rsid w:val="5ADD173D"/>
    <w:rsid w:val="5AF54CD9"/>
    <w:rsid w:val="5AF727FF"/>
    <w:rsid w:val="5B062A42"/>
    <w:rsid w:val="5B3475AF"/>
    <w:rsid w:val="5B3A26EB"/>
    <w:rsid w:val="5B525C87"/>
    <w:rsid w:val="5B841BB9"/>
    <w:rsid w:val="5B8A7416"/>
    <w:rsid w:val="5B94004E"/>
    <w:rsid w:val="5BAF4251"/>
    <w:rsid w:val="5BB26726"/>
    <w:rsid w:val="5BB64468"/>
    <w:rsid w:val="5BB65DB4"/>
    <w:rsid w:val="5BBE4CA3"/>
    <w:rsid w:val="5BC17FC2"/>
    <w:rsid w:val="5BC546AB"/>
    <w:rsid w:val="5BD91F04"/>
    <w:rsid w:val="5BD963A8"/>
    <w:rsid w:val="5BE91183"/>
    <w:rsid w:val="5BF0749C"/>
    <w:rsid w:val="5BFE6DB1"/>
    <w:rsid w:val="5C270EC2"/>
    <w:rsid w:val="5C4750C0"/>
    <w:rsid w:val="5C583771"/>
    <w:rsid w:val="5C64411C"/>
    <w:rsid w:val="5C7308BE"/>
    <w:rsid w:val="5C741C2D"/>
    <w:rsid w:val="5C774B2B"/>
    <w:rsid w:val="5C7878F3"/>
    <w:rsid w:val="5C7A6E7F"/>
    <w:rsid w:val="5C7D4F86"/>
    <w:rsid w:val="5C9B540C"/>
    <w:rsid w:val="5CA61FE4"/>
    <w:rsid w:val="5CAA290F"/>
    <w:rsid w:val="5CBC3D00"/>
    <w:rsid w:val="5CE46DB3"/>
    <w:rsid w:val="5D170F36"/>
    <w:rsid w:val="5D3D148A"/>
    <w:rsid w:val="5D3F223B"/>
    <w:rsid w:val="5D444CB5"/>
    <w:rsid w:val="5D7F339F"/>
    <w:rsid w:val="5D9C6727"/>
    <w:rsid w:val="5DAA7FFC"/>
    <w:rsid w:val="5DB20C5F"/>
    <w:rsid w:val="5DC7688B"/>
    <w:rsid w:val="5DD8598C"/>
    <w:rsid w:val="5DDB01B6"/>
    <w:rsid w:val="5E084D23"/>
    <w:rsid w:val="5E297A40"/>
    <w:rsid w:val="5E2A0EA3"/>
    <w:rsid w:val="5E593D11"/>
    <w:rsid w:val="5E5B7E40"/>
    <w:rsid w:val="5E7B54F5"/>
    <w:rsid w:val="5E8C001D"/>
    <w:rsid w:val="5EAE07E6"/>
    <w:rsid w:val="5ECE7D1A"/>
    <w:rsid w:val="5EE0439E"/>
    <w:rsid w:val="5EE74938"/>
    <w:rsid w:val="5EEB2E89"/>
    <w:rsid w:val="5EEE3F19"/>
    <w:rsid w:val="5F16521D"/>
    <w:rsid w:val="5F1F2324"/>
    <w:rsid w:val="5F26577E"/>
    <w:rsid w:val="5F3F3148"/>
    <w:rsid w:val="5F400ED6"/>
    <w:rsid w:val="5F497D13"/>
    <w:rsid w:val="5F6D308F"/>
    <w:rsid w:val="5F9849D9"/>
    <w:rsid w:val="5FAE2B8B"/>
    <w:rsid w:val="5FB23DB8"/>
    <w:rsid w:val="5FB274CE"/>
    <w:rsid w:val="5FB46F10"/>
    <w:rsid w:val="5FB962D5"/>
    <w:rsid w:val="5FBC5DC5"/>
    <w:rsid w:val="5FC11F2F"/>
    <w:rsid w:val="5FD517CA"/>
    <w:rsid w:val="5FD74377"/>
    <w:rsid w:val="5FDD7290"/>
    <w:rsid w:val="5FF27A39"/>
    <w:rsid w:val="5FF4730D"/>
    <w:rsid w:val="60116111"/>
    <w:rsid w:val="60545FFD"/>
    <w:rsid w:val="60723EC0"/>
    <w:rsid w:val="607D37A6"/>
    <w:rsid w:val="607E3E3A"/>
    <w:rsid w:val="608763D3"/>
    <w:rsid w:val="60AD570E"/>
    <w:rsid w:val="60AE3960"/>
    <w:rsid w:val="60B30F76"/>
    <w:rsid w:val="60CB2763"/>
    <w:rsid w:val="60DF5A39"/>
    <w:rsid w:val="60E03D35"/>
    <w:rsid w:val="60E95C7D"/>
    <w:rsid w:val="60F03697"/>
    <w:rsid w:val="60F11A9E"/>
    <w:rsid w:val="610139B4"/>
    <w:rsid w:val="6110461A"/>
    <w:rsid w:val="611F660B"/>
    <w:rsid w:val="6155202D"/>
    <w:rsid w:val="6157250F"/>
    <w:rsid w:val="617A7CE6"/>
    <w:rsid w:val="619D6A8B"/>
    <w:rsid w:val="61AA67EA"/>
    <w:rsid w:val="61C147F1"/>
    <w:rsid w:val="61CE4040"/>
    <w:rsid w:val="61D07906"/>
    <w:rsid w:val="61DF5D9B"/>
    <w:rsid w:val="61EE67B6"/>
    <w:rsid w:val="61EF373E"/>
    <w:rsid w:val="61F45CEA"/>
    <w:rsid w:val="61FA0D2D"/>
    <w:rsid w:val="62173786"/>
    <w:rsid w:val="62456545"/>
    <w:rsid w:val="6267026A"/>
    <w:rsid w:val="62A3326C"/>
    <w:rsid w:val="62C21944"/>
    <w:rsid w:val="62C27B96"/>
    <w:rsid w:val="62C5355F"/>
    <w:rsid w:val="62D43425"/>
    <w:rsid w:val="62E21FE6"/>
    <w:rsid w:val="62F31AFE"/>
    <w:rsid w:val="62F35FA1"/>
    <w:rsid w:val="631A52DC"/>
    <w:rsid w:val="633A772C"/>
    <w:rsid w:val="63582351"/>
    <w:rsid w:val="635C2683"/>
    <w:rsid w:val="63634B23"/>
    <w:rsid w:val="6371516C"/>
    <w:rsid w:val="63755142"/>
    <w:rsid w:val="63861098"/>
    <w:rsid w:val="63B05C41"/>
    <w:rsid w:val="63B374DF"/>
    <w:rsid w:val="63CB3C77"/>
    <w:rsid w:val="63CC76D1"/>
    <w:rsid w:val="640F42C2"/>
    <w:rsid w:val="64292951"/>
    <w:rsid w:val="642F4DB7"/>
    <w:rsid w:val="64395C36"/>
    <w:rsid w:val="643D14BE"/>
    <w:rsid w:val="645D67B2"/>
    <w:rsid w:val="646B4F3C"/>
    <w:rsid w:val="64A219D4"/>
    <w:rsid w:val="64E00B81"/>
    <w:rsid w:val="64E81030"/>
    <w:rsid w:val="64E9783C"/>
    <w:rsid w:val="65087045"/>
    <w:rsid w:val="652632DB"/>
    <w:rsid w:val="6535464F"/>
    <w:rsid w:val="65493C57"/>
    <w:rsid w:val="654C3747"/>
    <w:rsid w:val="654E38AB"/>
    <w:rsid w:val="656C5B97"/>
    <w:rsid w:val="657F791F"/>
    <w:rsid w:val="65801643"/>
    <w:rsid w:val="65864EAB"/>
    <w:rsid w:val="659F41BF"/>
    <w:rsid w:val="65B23B2F"/>
    <w:rsid w:val="65B81118"/>
    <w:rsid w:val="65BE130E"/>
    <w:rsid w:val="65C854C3"/>
    <w:rsid w:val="65DF280D"/>
    <w:rsid w:val="65EE2A50"/>
    <w:rsid w:val="65F410F5"/>
    <w:rsid w:val="65F609C9"/>
    <w:rsid w:val="662427AB"/>
    <w:rsid w:val="66293A88"/>
    <w:rsid w:val="663C6FB7"/>
    <w:rsid w:val="665F56FC"/>
    <w:rsid w:val="668533B4"/>
    <w:rsid w:val="66B21CD0"/>
    <w:rsid w:val="66C75067"/>
    <w:rsid w:val="66CC1ACE"/>
    <w:rsid w:val="66DB1226"/>
    <w:rsid w:val="66DD6AFD"/>
    <w:rsid w:val="66F30E49"/>
    <w:rsid w:val="67087B42"/>
    <w:rsid w:val="67103FAB"/>
    <w:rsid w:val="673152EA"/>
    <w:rsid w:val="67574E8D"/>
    <w:rsid w:val="675A65EF"/>
    <w:rsid w:val="676F055B"/>
    <w:rsid w:val="67727902"/>
    <w:rsid w:val="67A1260A"/>
    <w:rsid w:val="67E36959"/>
    <w:rsid w:val="67E44CCD"/>
    <w:rsid w:val="67EE31DB"/>
    <w:rsid w:val="67FD18B3"/>
    <w:rsid w:val="68273D25"/>
    <w:rsid w:val="682A1D0D"/>
    <w:rsid w:val="683B10D2"/>
    <w:rsid w:val="684939A0"/>
    <w:rsid w:val="68580655"/>
    <w:rsid w:val="68717419"/>
    <w:rsid w:val="687E00BB"/>
    <w:rsid w:val="68975621"/>
    <w:rsid w:val="6898534D"/>
    <w:rsid w:val="68A903C8"/>
    <w:rsid w:val="68BC2C6B"/>
    <w:rsid w:val="68C31F72"/>
    <w:rsid w:val="68CB7079"/>
    <w:rsid w:val="68DE6DAC"/>
    <w:rsid w:val="690C20B1"/>
    <w:rsid w:val="69132EFA"/>
    <w:rsid w:val="691D372D"/>
    <w:rsid w:val="69392234"/>
    <w:rsid w:val="69423900"/>
    <w:rsid w:val="6962178B"/>
    <w:rsid w:val="6968356F"/>
    <w:rsid w:val="6985167E"/>
    <w:rsid w:val="69AB1539"/>
    <w:rsid w:val="69C4796D"/>
    <w:rsid w:val="69D33990"/>
    <w:rsid w:val="69D52819"/>
    <w:rsid w:val="69E742F5"/>
    <w:rsid w:val="69FF347E"/>
    <w:rsid w:val="6A093665"/>
    <w:rsid w:val="6A0A1A85"/>
    <w:rsid w:val="6A162576"/>
    <w:rsid w:val="6A1D29A9"/>
    <w:rsid w:val="6A2161CA"/>
    <w:rsid w:val="6A34222D"/>
    <w:rsid w:val="6A3C1FDC"/>
    <w:rsid w:val="6A440E91"/>
    <w:rsid w:val="6A575068"/>
    <w:rsid w:val="6A5F3F1C"/>
    <w:rsid w:val="6A6E23B2"/>
    <w:rsid w:val="6A7259FE"/>
    <w:rsid w:val="6A835585"/>
    <w:rsid w:val="6A9A47C5"/>
    <w:rsid w:val="6AA14535"/>
    <w:rsid w:val="6AA165F8"/>
    <w:rsid w:val="6AAA163C"/>
    <w:rsid w:val="6AB9187F"/>
    <w:rsid w:val="6AB95096"/>
    <w:rsid w:val="6AD40467"/>
    <w:rsid w:val="6ADE7537"/>
    <w:rsid w:val="6B374093"/>
    <w:rsid w:val="6B443A00"/>
    <w:rsid w:val="6B453112"/>
    <w:rsid w:val="6B4E33AF"/>
    <w:rsid w:val="6BB516AD"/>
    <w:rsid w:val="6BB67B6C"/>
    <w:rsid w:val="6BE26BB3"/>
    <w:rsid w:val="6BEF307E"/>
    <w:rsid w:val="6C0A4A08"/>
    <w:rsid w:val="6C0C3DFA"/>
    <w:rsid w:val="6C1D116D"/>
    <w:rsid w:val="6C2808E1"/>
    <w:rsid w:val="6C315445"/>
    <w:rsid w:val="6C6475C8"/>
    <w:rsid w:val="6C8C6B1F"/>
    <w:rsid w:val="6CA83959"/>
    <w:rsid w:val="6CBB3E9D"/>
    <w:rsid w:val="6CBD4F2A"/>
    <w:rsid w:val="6CC30793"/>
    <w:rsid w:val="6CC62031"/>
    <w:rsid w:val="6CED5B4D"/>
    <w:rsid w:val="6D0B2E70"/>
    <w:rsid w:val="6D286848"/>
    <w:rsid w:val="6D575857"/>
    <w:rsid w:val="6D735B7A"/>
    <w:rsid w:val="6D7D6685"/>
    <w:rsid w:val="6D8E2E2C"/>
    <w:rsid w:val="6DA31C56"/>
    <w:rsid w:val="6DC5053A"/>
    <w:rsid w:val="6DCA78FF"/>
    <w:rsid w:val="6DD6774E"/>
    <w:rsid w:val="6DE50BDD"/>
    <w:rsid w:val="6DF15EEA"/>
    <w:rsid w:val="6E331948"/>
    <w:rsid w:val="6E3552BE"/>
    <w:rsid w:val="6E427DDD"/>
    <w:rsid w:val="6E4715B8"/>
    <w:rsid w:val="6E510020"/>
    <w:rsid w:val="6E573888"/>
    <w:rsid w:val="6E69248F"/>
    <w:rsid w:val="6E6C6C08"/>
    <w:rsid w:val="6E7736BC"/>
    <w:rsid w:val="6E7B7B42"/>
    <w:rsid w:val="6E922B12"/>
    <w:rsid w:val="6EAD16FA"/>
    <w:rsid w:val="6EB345DE"/>
    <w:rsid w:val="6EDC595B"/>
    <w:rsid w:val="6F062BB9"/>
    <w:rsid w:val="6F07313C"/>
    <w:rsid w:val="6F094457"/>
    <w:rsid w:val="6F5458AC"/>
    <w:rsid w:val="6F6259A5"/>
    <w:rsid w:val="6F821826"/>
    <w:rsid w:val="6FA80B23"/>
    <w:rsid w:val="6FB72105"/>
    <w:rsid w:val="6FC04968"/>
    <w:rsid w:val="6FC5117A"/>
    <w:rsid w:val="6FE0165C"/>
    <w:rsid w:val="6FEC6252"/>
    <w:rsid w:val="700F0193"/>
    <w:rsid w:val="703A5210"/>
    <w:rsid w:val="70413A40"/>
    <w:rsid w:val="7056191E"/>
    <w:rsid w:val="70585696"/>
    <w:rsid w:val="705F2D9F"/>
    <w:rsid w:val="707108FC"/>
    <w:rsid w:val="707B23F7"/>
    <w:rsid w:val="708741CD"/>
    <w:rsid w:val="70891CF3"/>
    <w:rsid w:val="70930CB0"/>
    <w:rsid w:val="709427C9"/>
    <w:rsid w:val="709A26DE"/>
    <w:rsid w:val="70BA00FF"/>
    <w:rsid w:val="70EB650A"/>
    <w:rsid w:val="713A123F"/>
    <w:rsid w:val="71451E2D"/>
    <w:rsid w:val="7161057A"/>
    <w:rsid w:val="71664926"/>
    <w:rsid w:val="71915A52"/>
    <w:rsid w:val="71926986"/>
    <w:rsid w:val="71A60683"/>
    <w:rsid w:val="71A87876"/>
    <w:rsid w:val="71E52F59"/>
    <w:rsid w:val="71E867AC"/>
    <w:rsid w:val="71EB769B"/>
    <w:rsid w:val="720611F5"/>
    <w:rsid w:val="721239A4"/>
    <w:rsid w:val="7218206E"/>
    <w:rsid w:val="72594A22"/>
    <w:rsid w:val="726B5B54"/>
    <w:rsid w:val="72792611"/>
    <w:rsid w:val="72897D89"/>
    <w:rsid w:val="728C1627"/>
    <w:rsid w:val="728D4E6A"/>
    <w:rsid w:val="72A05E46"/>
    <w:rsid w:val="72B017B9"/>
    <w:rsid w:val="72B1108D"/>
    <w:rsid w:val="72C835DA"/>
    <w:rsid w:val="72E83F34"/>
    <w:rsid w:val="72F35B4A"/>
    <w:rsid w:val="72F378F8"/>
    <w:rsid w:val="72FB396D"/>
    <w:rsid w:val="72FC60A4"/>
    <w:rsid w:val="732950C8"/>
    <w:rsid w:val="73441F01"/>
    <w:rsid w:val="73522870"/>
    <w:rsid w:val="735A7977"/>
    <w:rsid w:val="737F73DD"/>
    <w:rsid w:val="73877C25"/>
    <w:rsid w:val="73993FFB"/>
    <w:rsid w:val="739E1612"/>
    <w:rsid w:val="73A44F2A"/>
    <w:rsid w:val="73AE7C9B"/>
    <w:rsid w:val="73B44110"/>
    <w:rsid w:val="73CA18F0"/>
    <w:rsid w:val="73DD0E73"/>
    <w:rsid w:val="73DD3D42"/>
    <w:rsid w:val="73E22556"/>
    <w:rsid w:val="73E84F83"/>
    <w:rsid w:val="7407365B"/>
    <w:rsid w:val="74512B28"/>
    <w:rsid w:val="7466794A"/>
    <w:rsid w:val="746707BE"/>
    <w:rsid w:val="74A72748"/>
    <w:rsid w:val="74A826C3"/>
    <w:rsid w:val="74B4507D"/>
    <w:rsid w:val="74D90D77"/>
    <w:rsid w:val="750C6A4F"/>
    <w:rsid w:val="7521699E"/>
    <w:rsid w:val="753612D5"/>
    <w:rsid w:val="755A2E52"/>
    <w:rsid w:val="755D3E99"/>
    <w:rsid w:val="755F193B"/>
    <w:rsid w:val="756C3663"/>
    <w:rsid w:val="75866801"/>
    <w:rsid w:val="75A210DC"/>
    <w:rsid w:val="75AA4844"/>
    <w:rsid w:val="75B90985"/>
    <w:rsid w:val="761158B3"/>
    <w:rsid w:val="761A519B"/>
    <w:rsid w:val="761D53B8"/>
    <w:rsid w:val="762027B2"/>
    <w:rsid w:val="7621477C"/>
    <w:rsid w:val="762F50EB"/>
    <w:rsid w:val="76360227"/>
    <w:rsid w:val="763C5112"/>
    <w:rsid w:val="763E532E"/>
    <w:rsid w:val="765335F9"/>
    <w:rsid w:val="7657019E"/>
    <w:rsid w:val="76592168"/>
    <w:rsid w:val="76674261"/>
    <w:rsid w:val="769C1B4F"/>
    <w:rsid w:val="769E045F"/>
    <w:rsid w:val="76A827A7"/>
    <w:rsid w:val="76B37ACA"/>
    <w:rsid w:val="76BF7993"/>
    <w:rsid w:val="76DF01F6"/>
    <w:rsid w:val="76E41A31"/>
    <w:rsid w:val="76EA1012"/>
    <w:rsid w:val="76ED5DD7"/>
    <w:rsid w:val="77092C22"/>
    <w:rsid w:val="77225C69"/>
    <w:rsid w:val="773C4E33"/>
    <w:rsid w:val="7746449A"/>
    <w:rsid w:val="7748213F"/>
    <w:rsid w:val="77484D69"/>
    <w:rsid w:val="7755489C"/>
    <w:rsid w:val="776502A1"/>
    <w:rsid w:val="77770AF7"/>
    <w:rsid w:val="77846CDF"/>
    <w:rsid w:val="77933457"/>
    <w:rsid w:val="77A45665"/>
    <w:rsid w:val="77A47413"/>
    <w:rsid w:val="77A64252"/>
    <w:rsid w:val="77CC339C"/>
    <w:rsid w:val="77CE4048"/>
    <w:rsid w:val="77D61EDC"/>
    <w:rsid w:val="77DB38F7"/>
    <w:rsid w:val="77E67F9F"/>
    <w:rsid w:val="77F379D0"/>
    <w:rsid w:val="78236589"/>
    <w:rsid w:val="78322C70"/>
    <w:rsid w:val="7860158C"/>
    <w:rsid w:val="786F5C73"/>
    <w:rsid w:val="789B0816"/>
    <w:rsid w:val="78B869F8"/>
    <w:rsid w:val="78C57641"/>
    <w:rsid w:val="78D930EC"/>
    <w:rsid w:val="78E8056A"/>
    <w:rsid w:val="78F324AE"/>
    <w:rsid w:val="78F64AAF"/>
    <w:rsid w:val="78FE0568"/>
    <w:rsid w:val="791B57BA"/>
    <w:rsid w:val="791C556F"/>
    <w:rsid w:val="79334EF2"/>
    <w:rsid w:val="794514C8"/>
    <w:rsid w:val="79517126"/>
    <w:rsid w:val="795B1D53"/>
    <w:rsid w:val="796450AB"/>
    <w:rsid w:val="796C332E"/>
    <w:rsid w:val="79A90D10"/>
    <w:rsid w:val="79BD2A0E"/>
    <w:rsid w:val="79C913B2"/>
    <w:rsid w:val="79D7229C"/>
    <w:rsid w:val="79DA35C0"/>
    <w:rsid w:val="79F0693F"/>
    <w:rsid w:val="79F3642F"/>
    <w:rsid w:val="79F851D5"/>
    <w:rsid w:val="79FC7092"/>
    <w:rsid w:val="79FE105C"/>
    <w:rsid w:val="7A0932AF"/>
    <w:rsid w:val="7A193D40"/>
    <w:rsid w:val="7A623539"/>
    <w:rsid w:val="7A721728"/>
    <w:rsid w:val="7A7E3F4B"/>
    <w:rsid w:val="7A844288"/>
    <w:rsid w:val="7AA27811"/>
    <w:rsid w:val="7AA70F30"/>
    <w:rsid w:val="7AD65B35"/>
    <w:rsid w:val="7AE1182C"/>
    <w:rsid w:val="7AF406B1"/>
    <w:rsid w:val="7B023C16"/>
    <w:rsid w:val="7B0D7470"/>
    <w:rsid w:val="7B1F6C0C"/>
    <w:rsid w:val="7B476A33"/>
    <w:rsid w:val="7B643209"/>
    <w:rsid w:val="7B7D4202"/>
    <w:rsid w:val="7B827A6B"/>
    <w:rsid w:val="7BC03DDF"/>
    <w:rsid w:val="7BDA1655"/>
    <w:rsid w:val="7BE97AEA"/>
    <w:rsid w:val="7BEB4D04"/>
    <w:rsid w:val="7BF64461"/>
    <w:rsid w:val="7C112E25"/>
    <w:rsid w:val="7C127041"/>
    <w:rsid w:val="7C2154D6"/>
    <w:rsid w:val="7C39281F"/>
    <w:rsid w:val="7C3E1BE4"/>
    <w:rsid w:val="7C605FFE"/>
    <w:rsid w:val="7C664B53"/>
    <w:rsid w:val="7C792C1C"/>
    <w:rsid w:val="7C855A65"/>
    <w:rsid w:val="7C9C4B5C"/>
    <w:rsid w:val="7CB023B6"/>
    <w:rsid w:val="7CB225D2"/>
    <w:rsid w:val="7CDF5591"/>
    <w:rsid w:val="7CE55260"/>
    <w:rsid w:val="7D1B0177"/>
    <w:rsid w:val="7D3140B5"/>
    <w:rsid w:val="7D68620F"/>
    <w:rsid w:val="7D6C09D3"/>
    <w:rsid w:val="7D7215D9"/>
    <w:rsid w:val="7D87192D"/>
    <w:rsid w:val="7D9677FD"/>
    <w:rsid w:val="7D9C12B8"/>
    <w:rsid w:val="7DBB7264"/>
    <w:rsid w:val="7DBE3998"/>
    <w:rsid w:val="7E0E1EAE"/>
    <w:rsid w:val="7E1150D6"/>
    <w:rsid w:val="7E154BC6"/>
    <w:rsid w:val="7E247357"/>
    <w:rsid w:val="7E461224"/>
    <w:rsid w:val="7E4B683A"/>
    <w:rsid w:val="7E6A73EB"/>
    <w:rsid w:val="7E861620"/>
    <w:rsid w:val="7E88183C"/>
    <w:rsid w:val="7E992A68"/>
    <w:rsid w:val="7EA61CC2"/>
    <w:rsid w:val="7EC108AA"/>
    <w:rsid w:val="7EE822DB"/>
    <w:rsid w:val="7EEA76D5"/>
    <w:rsid w:val="7F092F83"/>
    <w:rsid w:val="7F10538E"/>
    <w:rsid w:val="7F233313"/>
    <w:rsid w:val="7F390D88"/>
    <w:rsid w:val="7F514D7B"/>
    <w:rsid w:val="7F6C6A68"/>
    <w:rsid w:val="7F6E0323"/>
    <w:rsid w:val="7F6F47AA"/>
    <w:rsid w:val="7F71407E"/>
    <w:rsid w:val="7F743B6E"/>
    <w:rsid w:val="7F8845FE"/>
    <w:rsid w:val="7F8D6B3F"/>
    <w:rsid w:val="7FA501CC"/>
    <w:rsid w:val="7FA93A1B"/>
    <w:rsid w:val="7FBA5A25"/>
    <w:rsid w:val="7FCE2C7B"/>
    <w:rsid w:val="7FCE7723"/>
    <w:rsid w:val="7FD50540"/>
    <w:rsid w:val="7FE26D2A"/>
    <w:rsid w:val="7FEC5DFB"/>
    <w:rsid w:val="7FFA50F6"/>
    <w:rsid w:val="7FFB746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eastAsia="仿宋" w:asciiTheme="minorHAnsi" w:hAnsiTheme="minorHAnsi" w:cstheme="minorBidi"/>
      <w:kern w:val="2"/>
      <w:sz w:val="28"/>
      <w:szCs w:val="24"/>
      <w:lang w:val="en-US" w:eastAsia="zh-CN" w:bidi="ar-SA"/>
    </w:rPr>
  </w:style>
  <w:style w:type="paragraph" w:styleId="4">
    <w:name w:val="heading 1"/>
    <w:basedOn w:val="1"/>
    <w:next w:val="1"/>
    <w:link w:val="31"/>
    <w:qFormat/>
    <w:uiPriority w:val="0"/>
    <w:pPr>
      <w:keepNext/>
      <w:keepLines/>
      <w:spacing w:before="340" w:after="330" w:line="576" w:lineRule="auto"/>
      <w:jc w:val="center"/>
      <w:outlineLvl w:val="0"/>
    </w:pPr>
    <w:rPr>
      <w:rFonts w:eastAsia="黑体"/>
      <w:b/>
      <w:kern w:val="44"/>
      <w:sz w:val="44"/>
    </w:rPr>
  </w:style>
  <w:style w:type="paragraph" w:styleId="5">
    <w:name w:val="heading 2"/>
    <w:basedOn w:val="1"/>
    <w:next w:val="1"/>
    <w:unhideWhenUsed/>
    <w:qFormat/>
    <w:uiPriority w:val="0"/>
    <w:pPr>
      <w:keepNext/>
      <w:keepLines/>
      <w:spacing w:before="260" w:after="260" w:line="413" w:lineRule="auto"/>
      <w:outlineLvl w:val="1"/>
    </w:pPr>
    <w:rPr>
      <w:rFonts w:ascii="Arial" w:hAnsi="Arial" w:eastAsia="宋体"/>
    </w:rPr>
  </w:style>
  <w:style w:type="paragraph" w:styleId="2">
    <w:name w:val="heading 3"/>
    <w:basedOn w:val="3"/>
    <w:next w:val="3"/>
    <w:link w:val="32"/>
    <w:unhideWhenUsed/>
    <w:qFormat/>
    <w:uiPriority w:val="0"/>
    <w:pPr>
      <w:keepNext/>
      <w:keepLines/>
      <w:spacing w:before="260" w:after="260" w:line="413" w:lineRule="auto"/>
      <w:outlineLvl w:val="2"/>
    </w:pPr>
  </w:style>
  <w:style w:type="paragraph" w:styleId="6">
    <w:name w:val="heading 4"/>
    <w:basedOn w:val="1"/>
    <w:next w:val="1"/>
    <w:unhideWhenUsed/>
    <w:qFormat/>
    <w:uiPriority w:val="0"/>
    <w:pPr>
      <w:keepNext/>
      <w:keepLines/>
      <w:spacing w:before="280" w:after="290" w:line="372" w:lineRule="auto"/>
      <w:outlineLvl w:val="3"/>
    </w:pPr>
    <w:rPr>
      <w:rFonts w:ascii="Arial" w:hAnsi="Arial" w:eastAsia="黑体"/>
      <w:b/>
    </w:rPr>
  </w:style>
  <w:style w:type="paragraph" w:styleId="7">
    <w:name w:val="heading 5"/>
    <w:basedOn w:val="1"/>
    <w:next w:val="1"/>
    <w:unhideWhenUsed/>
    <w:qFormat/>
    <w:uiPriority w:val="0"/>
    <w:pPr>
      <w:keepNext/>
      <w:keepLines/>
      <w:spacing w:before="280" w:after="290" w:line="372" w:lineRule="auto"/>
      <w:outlineLvl w:val="4"/>
    </w:pPr>
    <w:rPr>
      <w:b/>
    </w:rPr>
  </w:style>
  <w:style w:type="paragraph" w:styleId="8">
    <w:name w:val="heading 6"/>
    <w:basedOn w:val="1"/>
    <w:next w:val="1"/>
    <w:unhideWhenUsed/>
    <w:qFormat/>
    <w:uiPriority w:val="0"/>
    <w:pPr>
      <w:keepNext/>
      <w:keepLines/>
      <w:spacing w:before="240" w:after="64" w:line="317" w:lineRule="auto"/>
      <w:outlineLvl w:val="5"/>
    </w:pPr>
    <w:rPr>
      <w:rFonts w:ascii="Arial" w:hAnsi="Arial" w:eastAsia="黑体"/>
      <w:b/>
      <w:sz w:val="24"/>
    </w:rPr>
  </w:style>
  <w:style w:type="paragraph" w:styleId="9">
    <w:name w:val="heading 7"/>
    <w:basedOn w:val="1"/>
    <w:next w:val="1"/>
    <w:unhideWhenUsed/>
    <w:qFormat/>
    <w:uiPriority w:val="0"/>
    <w:pPr>
      <w:keepNext/>
      <w:keepLines/>
      <w:spacing w:before="240" w:after="64" w:line="317" w:lineRule="auto"/>
      <w:outlineLvl w:val="6"/>
    </w:pPr>
    <w:rPr>
      <w:b/>
      <w:sz w:val="24"/>
    </w:rPr>
  </w:style>
  <w:style w:type="paragraph" w:styleId="10">
    <w:name w:val="heading 8"/>
    <w:basedOn w:val="1"/>
    <w:next w:val="1"/>
    <w:unhideWhenUsed/>
    <w:qFormat/>
    <w:uiPriority w:val="0"/>
    <w:pPr>
      <w:keepNext/>
      <w:keepLines/>
      <w:spacing w:before="240" w:after="64" w:line="317" w:lineRule="auto"/>
      <w:outlineLvl w:val="7"/>
    </w:pPr>
    <w:rPr>
      <w:rFonts w:ascii="Arial" w:hAnsi="Arial" w:eastAsia="黑体"/>
      <w:sz w:val="24"/>
    </w:rPr>
  </w:style>
  <w:style w:type="paragraph" w:styleId="11">
    <w:name w:val="heading 9"/>
    <w:basedOn w:val="1"/>
    <w:next w:val="1"/>
    <w:unhideWhenUsed/>
    <w:qFormat/>
    <w:uiPriority w:val="0"/>
    <w:pPr>
      <w:keepNext/>
      <w:keepLines/>
      <w:spacing w:before="240" w:after="64" w:line="317" w:lineRule="auto"/>
      <w:outlineLvl w:val="8"/>
    </w:pPr>
    <w:rPr>
      <w:rFonts w:ascii="Arial" w:hAnsi="Arial" w:eastAsia="黑体"/>
      <w:sz w:val="21"/>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table of authorities"/>
    <w:basedOn w:val="1"/>
    <w:next w:val="1"/>
    <w:unhideWhenUsed/>
    <w:qFormat/>
    <w:uiPriority w:val="99"/>
    <w:pPr>
      <w:ind w:left="200" w:leftChars="200"/>
    </w:pPr>
  </w:style>
  <w:style w:type="paragraph" w:styleId="12">
    <w:name w:val="Normal Indent"/>
    <w:basedOn w:val="1"/>
    <w:qFormat/>
    <w:uiPriority w:val="0"/>
    <w:pPr>
      <w:snapToGrid w:val="0"/>
      <w:spacing w:line="300" w:lineRule="auto"/>
      <w:ind w:firstLine="556"/>
    </w:pPr>
    <w:rPr>
      <w:rFonts w:ascii="仿宋_GB2312" w:hAnsi="Times New Roman" w:eastAsia="仿宋_GB2312" w:cs="Times New Roman"/>
      <w:szCs w:val="20"/>
    </w:rPr>
  </w:style>
  <w:style w:type="paragraph" w:styleId="13">
    <w:name w:val="annotation text"/>
    <w:basedOn w:val="1"/>
    <w:link w:val="42"/>
    <w:qFormat/>
    <w:uiPriority w:val="0"/>
    <w:pPr>
      <w:jc w:val="left"/>
    </w:pPr>
  </w:style>
  <w:style w:type="paragraph" w:styleId="14">
    <w:name w:val="Body Text"/>
    <w:basedOn w:val="1"/>
    <w:qFormat/>
    <w:uiPriority w:val="1"/>
    <w:rPr>
      <w:rFonts w:ascii="仿宋" w:hAnsi="仿宋" w:cs="仿宋"/>
      <w:szCs w:val="32"/>
      <w:lang w:val="zh-CN" w:bidi="zh-CN"/>
    </w:rPr>
  </w:style>
  <w:style w:type="paragraph" w:styleId="15">
    <w:name w:val="Body Text Indent"/>
    <w:basedOn w:val="1"/>
    <w:qFormat/>
    <w:uiPriority w:val="0"/>
    <w:pPr>
      <w:spacing w:after="120"/>
      <w:ind w:left="420" w:leftChars="200"/>
    </w:pPr>
  </w:style>
  <w:style w:type="paragraph" w:styleId="16">
    <w:name w:val="Balloon Text"/>
    <w:basedOn w:val="1"/>
    <w:link w:val="44"/>
    <w:qFormat/>
    <w:uiPriority w:val="0"/>
    <w:rPr>
      <w:sz w:val="18"/>
      <w:szCs w:val="18"/>
    </w:rPr>
  </w:style>
  <w:style w:type="paragraph" w:styleId="17">
    <w:name w:val="footer"/>
    <w:basedOn w:val="1"/>
    <w:link w:val="49"/>
    <w:qFormat/>
    <w:uiPriority w:val="99"/>
    <w:pPr>
      <w:tabs>
        <w:tab w:val="center" w:pos="4153"/>
        <w:tab w:val="right" w:pos="8306"/>
      </w:tabs>
      <w:snapToGrid w:val="0"/>
      <w:jc w:val="left"/>
    </w:pPr>
    <w:rPr>
      <w:rFonts w:eastAsia="宋体"/>
      <w:sz w:val="18"/>
    </w:rPr>
  </w:style>
  <w:style w:type="paragraph" w:styleId="18">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eastAsia="宋体"/>
      <w:sz w:val="18"/>
    </w:rPr>
  </w:style>
  <w:style w:type="paragraph" w:styleId="19">
    <w:name w:val="toc 1"/>
    <w:basedOn w:val="1"/>
    <w:next w:val="1"/>
    <w:qFormat/>
    <w:uiPriority w:val="0"/>
  </w:style>
  <w:style w:type="paragraph" w:styleId="20">
    <w:name w:val="toc 2"/>
    <w:basedOn w:val="1"/>
    <w:next w:val="1"/>
    <w:qFormat/>
    <w:uiPriority w:val="0"/>
    <w:pPr>
      <w:ind w:left="420" w:leftChars="200"/>
    </w:pPr>
  </w:style>
  <w:style w:type="paragraph" w:styleId="21">
    <w:name w:val="Title"/>
    <w:basedOn w:val="1"/>
    <w:next w:val="1"/>
    <w:qFormat/>
    <w:uiPriority w:val="0"/>
    <w:pPr>
      <w:spacing w:before="240" w:after="60"/>
      <w:jc w:val="center"/>
      <w:outlineLvl w:val="0"/>
    </w:pPr>
    <w:rPr>
      <w:rFonts w:ascii="Cambria" w:hAnsi="Cambria" w:eastAsia="宋体"/>
      <w:b/>
      <w:bCs/>
      <w:szCs w:val="32"/>
    </w:rPr>
  </w:style>
  <w:style w:type="paragraph" w:styleId="22">
    <w:name w:val="annotation subject"/>
    <w:basedOn w:val="13"/>
    <w:next w:val="13"/>
    <w:link w:val="43"/>
    <w:qFormat/>
    <w:uiPriority w:val="0"/>
    <w:rPr>
      <w:b/>
      <w:bCs/>
    </w:rPr>
  </w:style>
  <w:style w:type="paragraph" w:styleId="23">
    <w:name w:val="Body Text First Indent 2"/>
    <w:basedOn w:val="15"/>
    <w:qFormat/>
    <w:uiPriority w:val="0"/>
    <w:pPr>
      <w:ind w:firstLine="420"/>
    </w:p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Strong"/>
    <w:basedOn w:val="26"/>
    <w:qFormat/>
    <w:uiPriority w:val="0"/>
    <w:rPr>
      <w:b/>
    </w:rPr>
  </w:style>
  <w:style w:type="character" w:styleId="28">
    <w:name w:val="annotation reference"/>
    <w:basedOn w:val="26"/>
    <w:qFormat/>
    <w:uiPriority w:val="0"/>
    <w:rPr>
      <w:sz w:val="21"/>
      <w:szCs w:val="21"/>
    </w:rPr>
  </w:style>
  <w:style w:type="paragraph" w:customStyle="1" w:styleId="29">
    <w:name w:val="一级标题"/>
    <w:basedOn w:val="5"/>
    <w:next w:val="1"/>
    <w:qFormat/>
    <w:uiPriority w:val="0"/>
    <w:pPr>
      <w:spacing w:line="600" w:lineRule="exact"/>
      <w:jc w:val="left"/>
      <w:outlineLvl w:val="0"/>
    </w:pPr>
    <w:rPr>
      <w:rFonts w:eastAsia="黑体"/>
    </w:rPr>
  </w:style>
  <w:style w:type="paragraph" w:customStyle="1" w:styleId="30">
    <w:name w:val="二级标题"/>
    <w:basedOn w:val="2"/>
    <w:next w:val="1"/>
    <w:qFormat/>
    <w:uiPriority w:val="0"/>
    <w:pPr>
      <w:spacing w:line="600" w:lineRule="exact"/>
      <w:jc w:val="left"/>
    </w:pPr>
    <w:rPr>
      <w:rFonts w:ascii="Times New Roman" w:hAnsi="Times New Roman" w:eastAsia="楷体"/>
      <w:szCs w:val="20"/>
    </w:rPr>
  </w:style>
  <w:style w:type="character" w:customStyle="1" w:styleId="31">
    <w:name w:val="标题 1 Char"/>
    <w:link w:val="4"/>
    <w:qFormat/>
    <w:uiPriority w:val="0"/>
    <w:rPr>
      <w:rFonts w:eastAsia="黑体" w:asciiTheme="minorHAnsi" w:hAnsiTheme="minorHAnsi"/>
      <w:b/>
      <w:kern w:val="44"/>
      <w:sz w:val="44"/>
    </w:rPr>
  </w:style>
  <w:style w:type="character" w:customStyle="1" w:styleId="32">
    <w:name w:val="标题 3 Char"/>
    <w:link w:val="2"/>
    <w:qFormat/>
    <w:uiPriority w:val="0"/>
    <w:rPr>
      <w:rFonts w:eastAsia="仿宋"/>
      <w:sz w:val="32"/>
    </w:rPr>
  </w:style>
  <w:style w:type="character" w:customStyle="1" w:styleId="33">
    <w:name w:val="font21"/>
    <w:basedOn w:val="26"/>
    <w:qFormat/>
    <w:uiPriority w:val="0"/>
    <w:rPr>
      <w:rFonts w:hint="eastAsia" w:ascii="华文楷体" w:hAnsi="华文楷体" w:eastAsia="华文楷体" w:cs="华文楷体"/>
      <w:color w:val="000000"/>
      <w:sz w:val="20"/>
      <w:szCs w:val="20"/>
      <w:u w:val="none"/>
    </w:rPr>
  </w:style>
  <w:style w:type="character" w:customStyle="1" w:styleId="34">
    <w:name w:val="font91"/>
    <w:basedOn w:val="26"/>
    <w:qFormat/>
    <w:uiPriority w:val="0"/>
    <w:rPr>
      <w:rFonts w:ascii="Calibri" w:hAnsi="Calibri" w:cs="Calibri"/>
      <w:color w:val="000000"/>
      <w:sz w:val="20"/>
      <w:szCs w:val="20"/>
      <w:u w:val="none"/>
    </w:rPr>
  </w:style>
  <w:style w:type="character" w:customStyle="1" w:styleId="35">
    <w:name w:val="font41"/>
    <w:basedOn w:val="26"/>
    <w:qFormat/>
    <w:uiPriority w:val="0"/>
    <w:rPr>
      <w:rFonts w:hint="eastAsia" w:ascii="宋体" w:hAnsi="宋体" w:eastAsia="宋体" w:cs="宋体"/>
      <w:color w:val="000000"/>
      <w:sz w:val="20"/>
      <w:szCs w:val="20"/>
      <w:u w:val="none"/>
    </w:rPr>
  </w:style>
  <w:style w:type="character" w:customStyle="1" w:styleId="36">
    <w:name w:val="font71"/>
    <w:basedOn w:val="26"/>
    <w:qFormat/>
    <w:uiPriority w:val="0"/>
    <w:rPr>
      <w:rFonts w:ascii="Arial" w:hAnsi="Arial" w:cs="Arial"/>
      <w:color w:val="000000"/>
      <w:sz w:val="20"/>
      <w:szCs w:val="20"/>
      <w:u w:val="none"/>
    </w:rPr>
  </w:style>
  <w:style w:type="character" w:customStyle="1" w:styleId="37">
    <w:name w:val="font81"/>
    <w:basedOn w:val="26"/>
    <w:qFormat/>
    <w:uiPriority w:val="0"/>
    <w:rPr>
      <w:rFonts w:hint="eastAsia" w:ascii="华文楷体" w:hAnsi="华文楷体" w:eastAsia="华文楷体" w:cs="华文楷体"/>
      <w:color w:val="000000"/>
      <w:sz w:val="20"/>
      <w:szCs w:val="20"/>
      <w:u w:val="none"/>
    </w:rPr>
  </w:style>
  <w:style w:type="character" w:customStyle="1" w:styleId="38">
    <w:name w:val="font01"/>
    <w:basedOn w:val="26"/>
    <w:qFormat/>
    <w:uiPriority w:val="0"/>
    <w:rPr>
      <w:rFonts w:hint="eastAsia" w:ascii="宋体" w:hAnsi="宋体" w:eastAsia="宋体" w:cs="宋体"/>
      <w:color w:val="000000"/>
      <w:sz w:val="20"/>
      <w:szCs w:val="20"/>
      <w:u w:val="none"/>
    </w:rPr>
  </w:style>
  <w:style w:type="character" w:customStyle="1" w:styleId="39">
    <w:name w:val="font51"/>
    <w:basedOn w:val="26"/>
    <w:qFormat/>
    <w:uiPriority w:val="0"/>
    <w:rPr>
      <w:rFonts w:ascii="Arial" w:hAnsi="Arial" w:cs="Arial"/>
      <w:color w:val="000000"/>
      <w:sz w:val="20"/>
      <w:szCs w:val="20"/>
      <w:u w:val="none"/>
    </w:rPr>
  </w:style>
  <w:style w:type="paragraph" w:customStyle="1" w:styleId="40">
    <w:name w:val="WPSOffice手动目录 1"/>
    <w:qFormat/>
    <w:uiPriority w:val="0"/>
    <w:rPr>
      <w:rFonts w:ascii="Times New Roman" w:hAnsi="Times New Roman" w:eastAsia="宋体" w:cs="Times New Roman"/>
      <w:lang w:val="en-US" w:eastAsia="zh-CN" w:bidi="ar-SA"/>
    </w:rPr>
  </w:style>
  <w:style w:type="paragraph" w:customStyle="1" w:styleId="41">
    <w:name w:val="WPSOffice手动目录 2"/>
    <w:qFormat/>
    <w:uiPriority w:val="0"/>
    <w:pPr>
      <w:ind w:left="200" w:leftChars="200"/>
    </w:pPr>
    <w:rPr>
      <w:rFonts w:asciiTheme="minorHAnsi" w:hAnsiTheme="minorHAnsi" w:eastAsiaTheme="minorEastAsia" w:cstheme="minorBidi"/>
      <w:lang w:val="en-US" w:eastAsia="zh-CN" w:bidi="ar-SA"/>
    </w:rPr>
  </w:style>
  <w:style w:type="character" w:customStyle="1" w:styleId="42">
    <w:name w:val="批注文字 Char"/>
    <w:basedOn w:val="26"/>
    <w:link w:val="13"/>
    <w:qFormat/>
    <w:uiPriority w:val="0"/>
    <w:rPr>
      <w:rFonts w:eastAsia="仿宋"/>
      <w:kern w:val="2"/>
      <w:sz w:val="32"/>
      <w:szCs w:val="24"/>
    </w:rPr>
  </w:style>
  <w:style w:type="character" w:customStyle="1" w:styleId="43">
    <w:name w:val="批注主题 Char"/>
    <w:basedOn w:val="42"/>
    <w:link w:val="22"/>
    <w:qFormat/>
    <w:uiPriority w:val="0"/>
    <w:rPr>
      <w:rFonts w:eastAsia="仿宋"/>
      <w:b/>
      <w:bCs/>
      <w:kern w:val="2"/>
      <w:sz w:val="32"/>
      <w:szCs w:val="24"/>
    </w:rPr>
  </w:style>
  <w:style w:type="character" w:customStyle="1" w:styleId="44">
    <w:name w:val="批注框文本 Char"/>
    <w:basedOn w:val="26"/>
    <w:link w:val="16"/>
    <w:qFormat/>
    <w:uiPriority w:val="0"/>
    <w:rPr>
      <w:rFonts w:eastAsia="仿宋"/>
      <w:kern w:val="2"/>
      <w:sz w:val="18"/>
      <w:szCs w:val="18"/>
    </w:rPr>
  </w:style>
  <w:style w:type="character" w:customStyle="1" w:styleId="45">
    <w:name w:val="font31"/>
    <w:basedOn w:val="26"/>
    <w:qFormat/>
    <w:uiPriority w:val="0"/>
    <w:rPr>
      <w:rFonts w:hint="eastAsia" w:ascii="宋体" w:hAnsi="宋体" w:eastAsia="宋体" w:cs="宋体"/>
      <w:color w:val="000000"/>
      <w:sz w:val="20"/>
      <w:szCs w:val="20"/>
      <w:u w:val="none"/>
    </w:rPr>
  </w:style>
  <w:style w:type="character" w:customStyle="1" w:styleId="46">
    <w:name w:val="Char Char"/>
    <w:basedOn w:val="26"/>
    <w:qFormat/>
    <w:uiPriority w:val="6"/>
    <w:rPr>
      <w:sz w:val="18"/>
    </w:rPr>
  </w:style>
  <w:style w:type="paragraph" w:customStyle="1" w:styleId="47">
    <w:name w:val="正文1"/>
    <w:basedOn w:val="1"/>
    <w:qFormat/>
    <w:uiPriority w:val="3"/>
    <w:pPr>
      <w:widowControl/>
      <w:spacing w:line="240" w:lineRule="auto"/>
    </w:pPr>
    <w:rPr>
      <w:rFonts w:ascii="Times New Roman" w:hAnsi="Times New Roman" w:eastAsia="Times New Roman" w:cs="Times New Roman"/>
      <w:kern w:val="0"/>
      <w:sz w:val="21"/>
      <w:szCs w:val="20"/>
      <w:lang w:val="zh-CN"/>
    </w:rPr>
  </w:style>
  <w:style w:type="paragraph" w:styleId="48">
    <w:name w:val="List Paragraph"/>
    <w:basedOn w:val="1"/>
    <w:qFormat/>
    <w:uiPriority w:val="99"/>
    <w:pPr>
      <w:ind w:firstLine="420" w:firstLineChars="200"/>
    </w:pPr>
  </w:style>
  <w:style w:type="character" w:customStyle="1" w:styleId="49">
    <w:name w:val="页脚 Char"/>
    <w:basedOn w:val="26"/>
    <w:link w:val="17"/>
    <w:qFormat/>
    <w:uiPriority w:val="99"/>
    <w:rPr>
      <w:rFonts w:asciiTheme="minorHAnsi" w:hAnsiTheme="minorHAnsi" w:cstheme="minorBidi"/>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4A642D-2C1D-46B5-81F7-4FD1335B34F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9954</Words>
  <Characters>10633</Characters>
  <Lines>83</Lines>
  <Paragraphs>23</Paragraphs>
  <TotalTime>1</TotalTime>
  <ScaleCrop>false</ScaleCrop>
  <LinksUpToDate>false</LinksUpToDate>
  <CharactersWithSpaces>10839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2020-08-17T06:26:00Z</dcterms:created>
  <dc:creator>HGZ</dc:creator>
  <cp:lastModifiedBy>校长</cp:lastModifiedBy>
  <cp:lastPrinted>2020-08-27T01:16:00Z</cp:lastPrinted>
  <dcterms:modified xsi:type="dcterms:W3CDTF">2023-09-27T00:17:49Z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331B455720714AC58D7D44055E458E7D</vt:lpwstr>
  </property>
</Properties>
</file>