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报告编码：</w:t>
      </w:r>
    </w:p>
    <w:p>
      <w:pPr>
        <w:spacing w:line="560" w:lineRule="exact"/>
        <w:jc w:val="center"/>
        <w:rPr>
          <w:rFonts w:ascii="方正小标宋_GBK" w:hAnsi="方正小标宋_GBK" w:eastAsia="方正小标宋_GBK" w:cs="方正小标宋_GBK"/>
          <w:color w:val="auto"/>
          <w:sz w:val="36"/>
          <w:szCs w:val="36"/>
          <w:highlight w:val="none"/>
        </w:rPr>
      </w:pPr>
    </w:p>
    <w:p>
      <w:pPr>
        <w:spacing w:line="560" w:lineRule="exact"/>
        <w:jc w:val="center"/>
        <w:rPr>
          <w:rFonts w:ascii="方正小标宋_GBK" w:hAnsi="方正小标宋_GBK" w:eastAsia="方正小标宋_GBK" w:cs="方正小标宋_GBK"/>
          <w:color w:val="auto"/>
          <w:sz w:val="36"/>
          <w:szCs w:val="36"/>
          <w:highlight w:val="none"/>
        </w:rPr>
      </w:pPr>
    </w:p>
    <w:p>
      <w:pPr>
        <w:spacing w:line="640" w:lineRule="exact"/>
        <w:jc w:val="center"/>
        <w:rPr>
          <w:rFonts w:ascii="方正小标宋_GBK" w:hAnsi="方正小标宋_GBK" w:eastAsia="方正小标宋_GBK" w:cs="方正小标宋_GBK"/>
          <w:color w:val="auto"/>
          <w:sz w:val="60"/>
          <w:szCs w:val="60"/>
          <w:highlight w:val="none"/>
        </w:rPr>
      </w:pPr>
      <w:r>
        <w:rPr>
          <w:rFonts w:hint="eastAsia" w:ascii="方正小标宋_GBK" w:hAnsi="方正小标宋_GBK" w:eastAsia="方正小标宋_GBK" w:cs="方正小标宋_GBK"/>
          <w:color w:val="auto"/>
          <w:sz w:val="60"/>
          <w:szCs w:val="60"/>
          <w:highlight w:val="none"/>
        </w:rPr>
        <w:t>湖北省预算绩效评价报告</w:t>
      </w:r>
    </w:p>
    <w:p>
      <w:pPr>
        <w:spacing w:line="640" w:lineRule="exact"/>
        <w:ind w:firstLine="3840" w:firstLineChars="1200"/>
        <w:jc w:val="both"/>
        <w:rPr>
          <w:rFonts w:ascii="方正小标宋_GBK" w:hAnsi="方正小标宋_GBK" w:eastAsia="方正小标宋_GBK" w:cs="方正小标宋_GBK"/>
          <w:color w:val="auto"/>
          <w:sz w:val="36"/>
          <w:szCs w:val="36"/>
          <w:highlight w:val="none"/>
        </w:rPr>
      </w:pPr>
      <w:r>
        <w:rPr>
          <w:rFonts w:hint="eastAsia" w:ascii="楷体" w:hAnsi="楷体" w:eastAsia="楷体" w:cs="仿宋"/>
          <w:color w:val="auto"/>
          <w:sz w:val="32"/>
          <w:szCs w:val="32"/>
          <w:highlight w:val="none"/>
        </w:rPr>
        <w:t>（</w:t>
      </w:r>
      <w:r>
        <w:rPr>
          <w:rFonts w:hint="eastAsia" w:ascii="楷体" w:hAnsi="楷体" w:eastAsia="楷体" w:cs="仿宋"/>
          <w:color w:val="auto"/>
          <w:sz w:val="32"/>
          <w:szCs w:val="32"/>
          <w:highlight w:val="none"/>
          <w:lang w:val="en-US" w:eastAsia="zh-CN"/>
        </w:rPr>
        <w:t>专业</w:t>
      </w:r>
      <w:r>
        <w:rPr>
          <w:rFonts w:hint="eastAsia" w:ascii="楷体" w:hAnsi="楷体" w:eastAsia="楷体" w:cs="仿宋"/>
          <w:color w:val="auto"/>
          <w:sz w:val="32"/>
          <w:szCs w:val="32"/>
          <w:highlight w:val="none"/>
        </w:rPr>
        <w:t>版）</w:t>
      </w:r>
    </w:p>
    <w:p>
      <w:pPr>
        <w:spacing w:line="640" w:lineRule="exact"/>
        <w:rPr>
          <w:rFonts w:ascii="方正小标宋_GBK" w:hAnsi="方正小标宋_GBK" w:eastAsia="方正小标宋_GBK" w:cs="方正小标宋_GBK"/>
          <w:color w:val="auto"/>
          <w:sz w:val="36"/>
          <w:szCs w:val="36"/>
          <w:highlight w:val="none"/>
        </w:rPr>
      </w:pP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报告名称：</w:t>
      </w:r>
      <w:r>
        <w:rPr>
          <w:rFonts w:hint="eastAsia" w:ascii="仿宋_GB2312" w:hAnsi="仿宋_GB2312" w:eastAsia="仿宋_GB2312" w:cs="仿宋_GB2312"/>
          <w:color w:val="auto"/>
          <w:sz w:val="32"/>
          <w:szCs w:val="32"/>
          <w:highlight w:val="none"/>
          <w:u w:val="single"/>
          <w:lang w:eastAsia="zh-CN"/>
        </w:rPr>
        <w:t>市场监督管理专项经费项目</w:t>
      </w:r>
      <w:r>
        <w:rPr>
          <w:rFonts w:hint="eastAsia" w:ascii="仿宋_GB2312" w:hAnsi="仿宋_GB2312" w:eastAsia="仿宋_GB2312" w:cs="仿宋_GB2312"/>
          <w:color w:val="auto"/>
          <w:sz w:val="32"/>
          <w:szCs w:val="32"/>
          <w:highlight w:val="none"/>
          <w:u w:val="single"/>
          <w:lang w:val="en-US" w:eastAsia="zh-CN"/>
        </w:rPr>
        <w:t>绩效评价</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u w:val="none"/>
        </w:rPr>
        <w:t xml:space="preserve"> </w:t>
      </w:r>
    </w:p>
    <w:p>
      <w:pPr>
        <w:spacing w:line="640" w:lineRule="exact"/>
        <w:ind w:firstLine="320" w:firstLineChars="100"/>
        <w:rPr>
          <w:rFonts w:hint="eastAsia" w:ascii="仿宋_GB2312" w:hAnsi="仿宋_GB2312" w:eastAsia="仿宋_GB2312" w:cs="仿宋_GB2312"/>
          <w:color w:val="auto"/>
          <w:sz w:val="32"/>
          <w:szCs w:val="32"/>
          <w:highlight w:val="none"/>
          <w:u w:val="single"/>
          <w:lang w:eastAsia="zh-CN"/>
        </w:rPr>
      </w:pPr>
      <w:r>
        <w:rPr>
          <w:rFonts w:hint="eastAsia" w:ascii="仿宋_GB2312" w:hAnsi="仿宋_GB2312" w:eastAsia="仿宋_GB2312" w:cs="仿宋_GB2312"/>
          <w:color w:val="auto"/>
          <w:sz w:val="32"/>
          <w:szCs w:val="32"/>
          <w:highlight w:val="none"/>
        </w:rPr>
        <w:t>预算部门：</w:t>
      </w:r>
      <w:r>
        <w:rPr>
          <w:rFonts w:hint="eastAsia" w:ascii="仿宋_GB2312" w:hAnsi="仿宋_GB2312" w:eastAsia="仿宋_GB2312" w:cs="仿宋_GB2312"/>
          <w:color w:val="auto"/>
          <w:sz w:val="32"/>
          <w:szCs w:val="32"/>
          <w:highlight w:val="none"/>
          <w:u w:val="single"/>
          <w:lang w:eastAsia="zh-CN"/>
        </w:rPr>
        <w:t>黄石市</w:t>
      </w:r>
      <w:r>
        <w:rPr>
          <w:rFonts w:hint="eastAsia" w:ascii="仿宋_GB2312" w:hAnsi="仿宋_GB2312" w:eastAsia="仿宋_GB2312" w:cs="仿宋_GB2312"/>
          <w:color w:val="auto"/>
          <w:sz w:val="32"/>
          <w:szCs w:val="32"/>
          <w:highlight w:val="none"/>
          <w:u w:val="single"/>
          <w:lang w:val="en-US" w:eastAsia="zh-CN"/>
        </w:rPr>
        <w:t>下陆区市场监督管理局</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预算年度：</w:t>
      </w:r>
      <w:r>
        <w:rPr>
          <w:rFonts w:hint="eastAsia" w:ascii="仿宋_GB2312" w:hAnsi="仿宋_GB2312" w:eastAsia="仿宋_GB2312" w:cs="仿宋_GB2312"/>
          <w:color w:val="auto"/>
          <w:sz w:val="32"/>
          <w:szCs w:val="32"/>
          <w:highlight w:val="none"/>
          <w:u w:val="single"/>
          <w:lang w:eastAsia="zh-CN"/>
        </w:rPr>
        <w:t>202</w:t>
      </w:r>
      <w:r>
        <w:rPr>
          <w:rFonts w:hint="eastAsia" w:ascii="仿宋_GB2312" w:hAnsi="仿宋_GB2312" w:eastAsia="仿宋_GB2312" w:cs="仿宋_GB2312"/>
          <w:color w:val="auto"/>
          <w:sz w:val="32"/>
          <w:szCs w:val="32"/>
          <w:highlight w:val="none"/>
          <w:u w:val="single"/>
          <w:lang w:val="en-US" w:eastAsia="zh-CN"/>
        </w:rPr>
        <w:t>2</w:t>
      </w:r>
      <w:r>
        <w:rPr>
          <w:rFonts w:hint="eastAsia" w:ascii="仿宋_GB2312" w:hAnsi="仿宋_GB2312" w:eastAsia="仿宋_GB2312" w:cs="仿宋_GB2312"/>
          <w:color w:val="auto"/>
          <w:sz w:val="32"/>
          <w:szCs w:val="32"/>
          <w:highlight w:val="none"/>
          <w:u w:val="single"/>
          <w:lang w:eastAsia="zh-CN"/>
        </w:rPr>
        <w:t>年</w:t>
      </w:r>
      <w:r>
        <w:rPr>
          <w:rFonts w:hint="eastAsia" w:ascii="仿宋_GB2312" w:hAnsi="仿宋_GB2312" w:eastAsia="仿宋_GB2312" w:cs="仿宋_GB2312"/>
          <w:color w:val="auto"/>
          <w:sz w:val="32"/>
          <w:szCs w:val="32"/>
          <w:highlight w:val="none"/>
          <w:u w:val="single"/>
        </w:rPr>
        <w:t>度</w:t>
      </w:r>
      <w:r>
        <w:rPr>
          <w:rFonts w:hint="eastAsia" w:ascii="仿宋_GB2312" w:hAnsi="仿宋_GB2312" w:eastAsia="仿宋_GB2312" w:cs="仿宋_GB2312"/>
          <w:color w:val="auto"/>
          <w:sz w:val="32"/>
          <w:szCs w:val="32"/>
          <w:highlight w:val="none"/>
          <w:u w:val="none"/>
        </w:rPr>
        <w:t xml:space="preserve"> </w:t>
      </w:r>
      <w:r>
        <w:rPr>
          <w:rFonts w:hint="eastAsia" w:ascii="仿宋_GB2312" w:hAnsi="仿宋_GB2312" w:eastAsia="仿宋_GB2312" w:cs="仿宋_GB2312"/>
          <w:color w:val="auto"/>
          <w:sz w:val="32"/>
          <w:szCs w:val="32"/>
          <w:highlight w:val="none"/>
        </w:rPr>
        <w:t xml:space="preserve">                     </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评价类型：项目</w:t>
      </w:r>
      <w:r>
        <w:rPr>
          <w:rFonts w:hint="eastAsia" w:ascii="仿宋_GB2312" w:hAnsi="仿宋_GB2312" w:eastAsia="仿宋_GB2312" w:cs="仿宋_GB2312"/>
          <w:color w:val="auto"/>
          <w:sz w:val="32"/>
          <w:szCs w:val="32"/>
          <w:highlight w:val="none"/>
        </w:rPr>
        <w:sym w:font="Wingdings 2" w:char="0052"/>
      </w:r>
      <w:r>
        <w:rPr>
          <w:rFonts w:hint="eastAsia" w:ascii="仿宋_GB2312" w:hAnsi="仿宋_GB2312" w:eastAsia="仿宋_GB2312" w:cs="仿宋_GB2312"/>
          <w:color w:val="auto"/>
          <w:sz w:val="32"/>
          <w:szCs w:val="32"/>
          <w:highlight w:val="none"/>
        </w:rPr>
        <w:t xml:space="preserve">   政策□    部门整体□ </w:t>
      </w:r>
    </w:p>
    <w:p>
      <w:pPr>
        <w:spacing w:line="640" w:lineRule="exact"/>
        <w:ind w:firstLine="320" w:firstLineChars="100"/>
        <w:rPr>
          <w:rFonts w:ascii="仿宋_GB2312" w:hAnsi="仿宋_GB2312" w:eastAsia="仿宋_GB2312" w:cs="仿宋_GB2312"/>
          <w:color w:val="auto"/>
          <w:sz w:val="32"/>
          <w:szCs w:val="32"/>
          <w:highlight w:val="none"/>
        </w:rPr>
      </w:pPr>
    </w:p>
    <w:p>
      <w:pPr>
        <w:spacing w:line="640" w:lineRule="exact"/>
        <w:ind w:firstLine="320" w:firstLineChars="100"/>
        <w:rPr>
          <w:rFonts w:ascii="仿宋_GB2312" w:hAnsi="仿宋_GB2312" w:eastAsia="仿宋_GB2312" w:cs="仿宋_GB2312"/>
          <w:color w:val="auto"/>
          <w:sz w:val="32"/>
          <w:szCs w:val="32"/>
          <w:highlight w:val="none"/>
        </w:rPr>
      </w:pP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评价单位：</w:t>
      </w:r>
      <w:r>
        <w:rPr>
          <w:rFonts w:hint="eastAsia" w:ascii="仿宋_GB2312" w:hAnsi="仿宋_GB2312" w:eastAsia="仿宋_GB2312" w:cs="仿宋_GB2312"/>
          <w:color w:val="auto"/>
          <w:sz w:val="32"/>
          <w:szCs w:val="32"/>
          <w:highlight w:val="none"/>
          <w:u w:val="single"/>
          <w:lang w:val="en-US" w:eastAsia="zh-CN"/>
        </w:rPr>
        <w:t>湖北玖誉房地产评估有限</w:t>
      </w:r>
      <w:r>
        <w:rPr>
          <w:rFonts w:hint="eastAsia" w:ascii="仿宋_GB2312" w:hAnsi="仿宋_GB2312" w:eastAsia="仿宋_GB2312" w:cs="仿宋_GB2312"/>
          <w:color w:val="auto"/>
          <w:sz w:val="32"/>
          <w:szCs w:val="32"/>
          <w:highlight w:val="none"/>
          <w:u w:val="single"/>
        </w:rPr>
        <w:t>公司</w:t>
      </w:r>
      <w:r>
        <w:rPr>
          <w:rFonts w:hint="eastAsia" w:ascii="仿宋_GB2312" w:hAnsi="仿宋_GB2312" w:eastAsia="仿宋_GB2312" w:cs="仿宋_GB2312"/>
          <w:color w:val="auto"/>
          <w:sz w:val="32"/>
          <w:szCs w:val="32"/>
          <w:highlight w:val="none"/>
        </w:rPr>
        <w:t xml:space="preserve">              </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主评人1：</w:t>
      </w:r>
      <w:r>
        <w:rPr>
          <w:rFonts w:hint="eastAsia" w:ascii="仿宋_GB2312" w:hAnsi="仿宋_GB2312" w:eastAsia="仿宋_GB2312" w:cs="仿宋_GB2312"/>
          <w:color w:val="auto"/>
          <w:sz w:val="32"/>
          <w:szCs w:val="32"/>
          <w:highlight w:val="none"/>
          <w:u w:val="single"/>
        </w:rPr>
        <w:t xml:space="preserve">                          </w:t>
      </w:r>
    </w:p>
    <w:p>
      <w:pPr>
        <w:spacing w:line="640" w:lineRule="exact"/>
        <w:ind w:firstLine="320" w:firstLineChars="100"/>
        <w:rPr>
          <w:rFonts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主评人2：</w:t>
      </w:r>
      <w:r>
        <w:rPr>
          <w:rFonts w:hint="eastAsia" w:ascii="仿宋_GB2312" w:hAnsi="仿宋_GB2312" w:eastAsia="仿宋_GB2312" w:cs="仿宋_GB2312"/>
          <w:color w:val="auto"/>
          <w:sz w:val="32"/>
          <w:szCs w:val="32"/>
          <w:highlight w:val="none"/>
          <w:u w:val="single"/>
        </w:rPr>
        <w:t xml:space="preserve">                          </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    家：</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none"/>
        </w:rPr>
        <w:t xml:space="preserve">     </w:t>
      </w:r>
    </w:p>
    <w:p>
      <w:pPr>
        <w:spacing w:line="560" w:lineRule="atLeast"/>
        <w:ind w:firstLine="320" w:firstLineChars="100"/>
        <w:rPr>
          <w:rFonts w:ascii="仿宋" w:hAnsi="仿宋" w:cs="仿宋"/>
          <w:color w:val="auto"/>
          <w:sz w:val="32"/>
          <w:szCs w:val="32"/>
          <w:highlight w:val="none"/>
          <w:u w:val="none"/>
        </w:rPr>
      </w:pPr>
      <w:r>
        <w:rPr>
          <w:rFonts w:hint="eastAsia" w:ascii="仿宋_GB2312" w:hAnsi="仿宋_GB2312" w:eastAsia="仿宋_GB2312" w:cs="仿宋_GB2312"/>
          <w:color w:val="auto"/>
          <w:sz w:val="32"/>
          <w:szCs w:val="32"/>
          <w:highlight w:val="none"/>
        </w:rPr>
        <w:t>正式提交日期：</w:t>
      </w:r>
      <w:r>
        <w:rPr>
          <w:rFonts w:hint="eastAsia" w:ascii="仿宋_GB2312" w:hAnsi="仿宋_GB2312" w:eastAsia="仿宋_GB2312" w:cs="仿宋_GB2312"/>
          <w:color w:val="auto"/>
          <w:sz w:val="32"/>
          <w:szCs w:val="32"/>
          <w:highlight w:val="none"/>
          <w:u w:val="single"/>
        </w:rPr>
        <w:t xml:space="preserve"> </w:t>
      </w:r>
      <w:r>
        <w:rPr>
          <w:rFonts w:hint="eastAsia" w:ascii="仿宋" w:hAnsi="仿宋" w:cs="仿宋"/>
          <w:color w:val="auto"/>
          <w:sz w:val="32"/>
          <w:szCs w:val="32"/>
          <w:highlight w:val="none"/>
          <w:u w:val="single"/>
        </w:rPr>
        <w:t>二〇二</w:t>
      </w:r>
      <w:r>
        <w:rPr>
          <w:rFonts w:hint="eastAsia" w:ascii="仿宋" w:hAnsi="仿宋" w:cs="仿宋"/>
          <w:color w:val="auto"/>
          <w:sz w:val="32"/>
          <w:szCs w:val="32"/>
          <w:highlight w:val="none"/>
          <w:u w:val="single"/>
          <w:lang w:val="en-US" w:eastAsia="zh-CN"/>
        </w:rPr>
        <w:t>三</w:t>
      </w:r>
      <w:r>
        <w:rPr>
          <w:rFonts w:hint="eastAsia" w:ascii="仿宋" w:hAnsi="仿宋" w:cs="仿宋"/>
          <w:color w:val="auto"/>
          <w:sz w:val="32"/>
          <w:szCs w:val="32"/>
          <w:highlight w:val="none"/>
          <w:u w:val="single"/>
        </w:rPr>
        <w:t>年</w:t>
      </w:r>
      <w:r>
        <w:rPr>
          <w:rFonts w:hint="eastAsia" w:ascii="仿宋" w:hAnsi="仿宋" w:cs="仿宋"/>
          <w:color w:val="auto"/>
          <w:sz w:val="32"/>
          <w:szCs w:val="32"/>
          <w:highlight w:val="none"/>
          <w:u w:val="single"/>
          <w:lang w:val="en-US" w:eastAsia="zh-CN"/>
        </w:rPr>
        <w:t>八</w:t>
      </w:r>
      <w:r>
        <w:rPr>
          <w:rFonts w:hint="eastAsia" w:ascii="仿宋" w:hAnsi="仿宋" w:cs="仿宋"/>
          <w:color w:val="auto"/>
          <w:sz w:val="32"/>
          <w:szCs w:val="32"/>
          <w:highlight w:val="none"/>
          <w:u w:val="single"/>
        </w:rPr>
        <w:t>月</w:t>
      </w:r>
      <w:r>
        <w:rPr>
          <w:rFonts w:hint="eastAsia" w:ascii="仿宋" w:hAnsi="仿宋" w:cs="仿宋"/>
          <w:color w:val="auto"/>
          <w:sz w:val="32"/>
          <w:szCs w:val="32"/>
          <w:highlight w:val="none"/>
          <w:u w:val="single"/>
          <w:lang w:val="en-US" w:eastAsia="zh-CN"/>
        </w:rPr>
        <w:t>三十</w:t>
      </w:r>
      <w:r>
        <w:rPr>
          <w:rFonts w:hint="eastAsia" w:ascii="仿宋" w:hAnsi="仿宋" w:cs="仿宋"/>
          <w:color w:val="auto"/>
          <w:sz w:val="32"/>
          <w:szCs w:val="32"/>
          <w:highlight w:val="none"/>
          <w:u w:val="single"/>
        </w:rPr>
        <w:t xml:space="preserve">日  </w:t>
      </w:r>
      <w:r>
        <w:rPr>
          <w:rFonts w:hint="eastAsia" w:ascii="仿宋" w:hAnsi="仿宋" w:cs="仿宋"/>
          <w:color w:val="auto"/>
          <w:sz w:val="32"/>
          <w:szCs w:val="32"/>
          <w:highlight w:val="none"/>
          <w:u w:val="none"/>
        </w:rPr>
        <w:t xml:space="preserve">     </w:t>
      </w:r>
    </w:p>
    <w:p>
      <w:pPr>
        <w:spacing w:line="560" w:lineRule="exact"/>
        <w:jc w:val="center"/>
        <w:rPr>
          <w:rFonts w:ascii="方正小标宋_GBK" w:hAnsi="方正小标宋_GBK" w:eastAsia="方正小标宋_GBK" w:cs="方正小标宋_GBK"/>
          <w:color w:val="auto"/>
          <w:sz w:val="36"/>
          <w:szCs w:val="36"/>
          <w:highlight w:val="none"/>
          <w:u w:val="none"/>
        </w:rPr>
        <w:sectPr>
          <w:footerReference r:id="rId5" w:type="first"/>
          <w:pgSz w:w="11906" w:h="16838"/>
          <w:pgMar w:top="2098" w:right="1474" w:bottom="1984" w:left="1587" w:header="851" w:footer="992" w:gutter="0"/>
          <w:pgNumType w:fmt="numberInDash" w:start="1"/>
          <w:cols w:space="425" w:num="1"/>
          <w:docGrid w:type="lines" w:linePitch="312" w:charSpace="0"/>
        </w:sectPr>
      </w:pPr>
      <w:bookmarkStart w:id="0" w:name="_Toc14277226"/>
      <w:bookmarkStart w:id="1" w:name="_Toc520282421"/>
      <w:bookmarkStart w:id="2" w:name="_Toc48235528"/>
      <w:bookmarkStart w:id="3" w:name="_Toc47455076"/>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仿宋" w:hAnsi="仿宋" w:cs="仿宋"/>
          <w:color w:val="auto"/>
          <w:sz w:val="36"/>
          <w:szCs w:val="36"/>
          <w:highlight w:val="none"/>
          <w:lang w:eastAsia="zh-CN"/>
        </w:rPr>
      </w:pPr>
      <w:r>
        <w:rPr>
          <w:rFonts w:hint="eastAsia" w:ascii="方正小标宋_GBK" w:hAnsi="方正小标宋_GBK" w:eastAsia="方正小标宋_GBK" w:cs="方正小标宋_GBK"/>
          <w:color w:val="auto"/>
          <w:sz w:val="36"/>
          <w:szCs w:val="36"/>
          <w:highlight w:val="none"/>
          <w:lang w:eastAsia="zh-CN"/>
        </w:rPr>
        <w:t>黄石市下陆区市场监督管理专项经费项目</w:t>
      </w: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ascii="方正小标宋_GBK" w:hAnsi="方正小标宋_GBK" w:eastAsia="方正小标宋_GBK" w:cs="方正小标宋_GBK"/>
          <w:color w:val="auto"/>
          <w:sz w:val="36"/>
          <w:szCs w:val="36"/>
          <w:highlight w:val="none"/>
        </w:rPr>
      </w:pPr>
      <w:r>
        <w:rPr>
          <w:rFonts w:hint="eastAsia" w:ascii="方正小标宋_GBK" w:hAnsi="方正小标宋_GBK" w:eastAsia="方正小标宋_GBK" w:cs="方正小标宋_GBK"/>
          <w:color w:val="auto"/>
          <w:sz w:val="36"/>
          <w:szCs w:val="36"/>
          <w:highlight w:val="none"/>
        </w:rPr>
        <w:t>绩效评价报告</w:t>
      </w:r>
      <w:bookmarkEnd w:id="0"/>
      <w:bookmarkEnd w:id="1"/>
      <w:bookmarkEnd w:id="2"/>
      <w:bookmarkEnd w:id="3"/>
    </w:p>
    <w:p>
      <w:pPr>
        <w:spacing w:line="560" w:lineRule="atLeast"/>
        <w:ind w:firstLine="3520" w:firstLineChars="1100"/>
        <w:jc w:val="both"/>
        <w:rPr>
          <w:rFonts w:ascii="仿宋" w:hAnsi="仿宋" w:cs="仿宋"/>
          <w:color w:val="auto"/>
          <w:sz w:val="32"/>
          <w:szCs w:val="32"/>
          <w:highlight w:val="none"/>
        </w:rPr>
      </w:pPr>
      <w:r>
        <w:rPr>
          <w:rFonts w:hint="eastAsia" w:ascii="楷体" w:hAnsi="楷体" w:eastAsia="楷体" w:cs="仿宋"/>
          <w:color w:val="auto"/>
          <w:sz w:val="32"/>
          <w:szCs w:val="32"/>
          <w:highlight w:val="none"/>
        </w:rPr>
        <w:t>（</w:t>
      </w:r>
      <w:r>
        <w:rPr>
          <w:rFonts w:hint="eastAsia" w:ascii="楷体" w:hAnsi="楷体" w:eastAsia="楷体" w:cs="仿宋"/>
          <w:color w:val="auto"/>
          <w:sz w:val="32"/>
          <w:szCs w:val="32"/>
          <w:highlight w:val="none"/>
          <w:lang w:val="en-US" w:eastAsia="zh-CN"/>
        </w:rPr>
        <w:t>专业</w:t>
      </w:r>
      <w:r>
        <w:rPr>
          <w:rFonts w:hint="eastAsia" w:ascii="楷体" w:hAnsi="楷体" w:eastAsia="楷体" w:cs="仿宋"/>
          <w:color w:val="auto"/>
          <w:sz w:val="32"/>
          <w:szCs w:val="32"/>
          <w:highlight w:val="none"/>
        </w:rPr>
        <w:t>版）</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lang w:val="en-US" w:eastAsia="zh-CN"/>
        </w:rPr>
        <w:t>湖北玖誉房地产评估有限</w:t>
      </w:r>
      <w:r>
        <w:rPr>
          <w:rFonts w:hint="eastAsia" w:ascii="仿宋" w:hAnsi="仿宋" w:cs="仿宋"/>
          <w:color w:val="auto"/>
          <w:sz w:val="32"/>
          <w:szCs w:val="32"/>
          <w:highlight w:val="none"/>
        </w:rPr>
        <w:t>公司接受黄石市</w:t>
      </w:r>
      <w:r>
        <w:rPr>
          <w:rFonts w:hint="eastAsia" w:ascii="仿宋" w:hAnsi="仿宋" w:cs="仿宋"/>
          <w:color w:val="auto"/>
          <w:sz w:val="32"/>
          <w:szCs w:val="32"/>
          <w:highlight w:val="none"/>
          <w:lang w:val="en-US" w:eastAsia="zh-CN"/>
        </w:rPr>
        <w:t>下陆区</w:t>
      </w:r>
      <w:r>
        <w:rPr>
          <w:rFonts w:hint="eastAsia" w:ascii="仿宋" w:hAnsi="仿宋" w:cs="仿宋"/>
          <w:color w:val="auto"/>
          <w:sz w:val="32"/>
          <w:szCs w:val="32"/>
          <w:highlight w:val="none"/>
        </w:rPr>
        <w:t>财政局的委托，</w:t>
      </w:r>
      <w:r>
        <w:rPr>
          <w:rFonts w:hint="eastAsia" w:ascii="仿宋" w:hAnsi="仿宋" w:cs="仿宋"/>
          <w:color w:val="auto"/>
          <w:kern w:val="0"/>
          <w:sz w:val="32"/>
          <w:szCs w:val="32"/>
          <w:highlight w:val="none"/>
        </w:rPr>
        <w:t>根据《中共中央 国务院关于全面实施预算绩效管理的意见》（中发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2018</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34号）、《国务院关于加强和规范事中事后监管的指导意见》（国发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2019</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18号）、《财政部关于贯彻落实&lt;中共中央 国务院关于全面实施预算绩效管理的意见&gt;的通知》（财预</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2018</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167号）、《省财政厅关于推进全面实施预算绩效管理工作的通知》（鄂财绩发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2019</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10号）、《湖北省财政厅关于印发全面实施预算绩效管理系列制度的通知》(鄂财绩发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2020</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3号)、《湖北省预算绩效管理地方标准》的要求</w:t>
      </w:r>
      <w:r>
        <w:rPr>
          <w:rFonts w:hint="eastAsia" w:ascii="仿宋" w:hAnsi="仿宋" w:cs="仿宋"/>
          <w:color w:val="auto"/>
          <w:sz w:val="32"/>
          <w:szCs w:val="32"/>
          <w:highlight w:val="none"/>
        </w:rPr>
        <w:t>，</w:t>
      </w:r>
      <w:r>
        <w:rPr>
          <w:rFonts w:hint="eastAsia" w:ascii="仿宋" w:hAnsi="仿宋"/>
          <w:color w:val="auto"/>
          <w:kern w:val="0"/>
          <w:sz w:val="32"/>
          <w:szCs w:val="32"/>
          <w:highlight w:val="none"/>
        </w:rPr>
        <w:t>本着客观、公正、公平的原则</w:t>
      </w:r>
      <w:r>
        <w:rPr>
          <w:rFonts w:hint="eastAsia" w:ascii="仿宋" w:hAnsi="仿宋" w:cs="仿宋"/>
          <w:color w:val="auto"/>
          <w:sz w:val="32"/>
          <w:szCs w:val="32"/>
          <w:highlight w:val="none"/>
        </w:rPr>
        <w:t>，对“</w:t>
      </w:r>
      <w:r>
        <w:rPr>
          <w:rFonts w:hint="eastAsia" w:ascii="仿宋" w:hAnsi="仿宋" w:cs="仿宋"/>
          <w:color w:val="auto"/>
          <w:sz w:val="32"/>
          <w:szCs w:val="32"/>
          <w:highlight w:val="none"/>
          <w:lang w:eastAsia="zh-CN"/>
        </w:rPr>
        <w:t xml:space="preserve"> </w:t>
      </w:r>
      <w:r>
        <w:rPr>
          <w:rFonts w:hint="eastAsia" w:ascii="仿宋" w:hAnsi="仿宋" w:cs="仿宋"/>
          <w:color w:val="auto"/>
          <w:kern w:val="0"/>
          <w:sz w:val="32"/>
          <w:szCs w:val="32"/>
          <w:highlight w:val="none"/>
          <w:lang w:eastAsia="zh-CN"/>
        </w:rPr>
        <w:t>黄石市下陆区市场监督管理专项经费项目</w:t>
      </w:r>
      <w:r>
        <w:rPr>
          <w:rFonts w:hint="eastAsia" w:ascii="仿宋" w:hAnsi="仿宋" w:cs="仿宋"/>
          <w:color w:val="auto"/>
          <w:kern w:val="0"/>
          <w:sz w:val="32"/>
          <w:szCs w:val="32"/>
          <w:highlight w:val="none"/>
        </w:rPr>
        <w:t>”</w:t>
      </w:r>
      <w:r>
        <w:rPr>
          <w:rFonts w:hint="eastAsia" w:ascii="仿宋" w:hAnsi="仿宋" w:cs="仿宋"/>
          <w:color w:val="auto"/>
          <w:sz w:val="32"/>
          <w:szCs w:val="32"/>
          <w:highlight w:val="none"/>
        </w:rPr>
        <w:t>的绩效进行了综合考评，</w:t>
      </w:r>
      <w:r>
        <w:rPr>
          <w:rFonts w:hint="eastAsia" w:ascii="仿宋" w:hAnsi="仿宋"/>
          <w:color w:val="auto"/>
          <w:kern w:val="0"/>
          <w:sz w:val="32"/>
          <w:szCs w:val="32"/>
          <w:highlight w:val="none"/>
        </w:rPr>
        <w:t>形成本评价报告</w:t>
      </w:r>
      <w:r>
        <w:rPr>
          <w:rFonts w:hint="eastAsia" w:ascii="仿宋" w:hAnsi="仿宋" w:cs="仿宋"/>
          <w:color w:val="auto"/>
          <w:sz w:val="32"/>
          <w:szCs w:val="32"/>
          <w:highlight w:val="none"/>
        </w:rPr>
        <w:t>。</w:t>
      </w:r>
    </w:p>
    <w:p>
      <w:pPr>
        <w:pStyle w:val="4"/>
        <w:pageBreakBefore w:val="0"/>
        <w:kinsoku/>
        <w:wordWrap/>
        <w:overflowPunct/>
        <w:topLinePunct w:val="0"/>
        <w:bidi w:val="0"/>
        <w:spacing w:before="0" w:after="0" w:line="560" w:lineRule="exact"/>
        <w:ind w:left="0" w:firstLine="643" w:firstLineChars="200"/>
        <w:jc w:val="left"/>
        <w:rPr>
          <w:rFonts w:hint="eastAsia" w:ascii="黑体" w:hAnsi="黑体" w:cs="黑体"/>
          <w:color w:val="auto"/>
          <w:sz w:val="32"/>
          <w:szCs w:val="32"/>
          <w:highlight w:val="none"/>
        </w:rPr>
      </w:pPr>
      <w:bookmarkStart w:id="4" w:name="_Toc31809"/>
    </w:p>
    <w:p>
      <w:pPr>
        <w:pStyle w:val="4"/>
        <w:pageBreakBefore w:val="0"/>
        <w:kinsoku/>
        <w:wordWrap/>
        <w:overflowPunct/>
        <w:topLinePunct w:val="0"/>
        <w:bidi w:val="0"/>
        <w:spacing w:before="0" w:after="0" w:line="560" w:lineRule="exact"/>
        <w:ind w:left="0" w:firstLine="643" w:firstLineChars="200"/>
        <w:jc w:val="left"/>
        <w:rPr>
          <w:rFonts w:ascii="黑体" w:hAnsi="黑体" w:cs="黑体"/>
          <w:color w:val="auto"/>
          <w:sz w:val="32"/>
          <w:szCs w:val="32"/>
          <w:highlight w:val="none"/>
        </w:rPr>
      </w:pPr>
      <w:r>
        <w:rPr>
          <w:rFonts w:hint="eastAsia" w:ascii="黑体" w:hAnsi="黑体" w:cs="黑体"/>
          <w:color w:val="auto"/>
          <w:sz w:val="32"/>
          <w:szCs w:val="32"/>
          <w:highlight w:val="none"/>
        </w:rPr>
        <w:t>一、评价结论</w:t>
      </w:r>
      <w:bookmarkEnd w:id="4"/>
    </w:p>
    <w:p>
      <w:pPr>
        <w:pageBreakBefore w:val="0"/>
        <w:kinsoku/>
        <w:wordWrap/>
        <w:overflowPunct/>
        <w:topLinePunct w:val="0"/>
        <w:bidi w:val="0"/>
        <w:spacing w:line="560" w:lineRule="exact"/>
        <w:ind w:left="0" w:firstLine="640" w:firstLineChars="200"/>
        <w:rPr>
          <w:rFonts w:ascii="楷体" w:hAnsi="楷体" w:eastAsia="楷体" w:cs="楷体"/>
          <w:color w:val="auto"/>
          <w:sz w:val="32"/>
          <w:szCs w:val="32"/>
          <w:highlight w:val="none"/>
        </w:rPr>
      </w:pPr>
      <w:bookmarkStart w:id="5" w:name="_Toc26098"/>
      <w:r>
        <w:rPr>
          <w:rFonts w:hint="eastAsia" w:ascii="楷体" w:hAnsi="楷体" w:eastAsia="楷体" w:cs="楷体"/>
          <w:color w:val="auto"/>
          <w:sz w:val="32"/>
          <w:szCs w:val="32"/>
          <w:highlight w:val="none"/>
        </w:rPr>
        <w:t>（一）评价分数和等级</w:t>
      </w:r>
      <w:bookmarkEnd w:id="5"/>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cs="仿宋"/>
          <w:color w:val="auto"/>
          <w:sz w:val="32"/>
          <w:szCs w:val="32"/>
          <w:highlight w:val="none"/>
        </w:rPr>
      </w:pPr>
      <w:r>
        <w:rPr>
          <w:rFonts w:hint="eastAsia" w:ascii="仿宋" w:hAnsi="仿宋" w:cs="仿宋"/>
          <w:color w:val="auto"/>
          <w:kern w:val="0"/>
          <w:sz w:val="32"/>
          <w:szCs w:val="32"/>
          <w:highlight w:val="none"/>
          <w:lang w:eastAsia="zh-CN"/>
        </w:rPr>
        <w:t>黄石市下陆区市场监督管理专项经费项目</w:t>
      </w:r>
      <w:r>
        <w:rPr>
          <w:rFonts w:hint="eastAsia" w:ascii="仿宋" w:hAnsi="仿宋"/>
          <w:color w:val="auto"/>
          <w:kern w:val="0"/>
          <w:sz w:val="32"/>
          <w:szCs w:val="32"/>
          <w:highlight w:val="none"/>
        </w:rPr>
        <w:t>绩效评价得分</w:t>
      </w:r>
      <w:r>
        <w:rPr>
          <w:rFonts w:hint="eastAsia" w:ascii="仿宋" w:hAnsi="仿宋" w:cs="仿宋"/>
          <w:color w:val="auto"/>
          <w:sz w:val="32"/>
          <w:szCs w:val="32"/>
          <w:highlight w:val="none"/>
          <w:lang w:val="en-US" w:eastAsia="zh-CN"/>
        </w:rPr>
        <w:t>83.38</w:t>
      </w:r>
      <w:r>
        <w:rPr>
          <w:rFonts w:hint="eastAsia" w:ascii="仿宋" w:hAnsi="仿宋" w:cs="仿宋"/>
          <w:color w:val="auto"/>
          <w:sz w:val="32"/>
          <w:szCs w:val="32"/>
          <w:highlight w:val="none"/>
        </w:rPr>
        <w:t>分，</w:t>
      </w:r>
      <w:r>
        <w:rPr>
          <w:rFonts w:hint="eastAsia" w:ascii="仿宋" w:hAnsi="仿宋"/>
          <w:color w:val="auto"/>
          <w:kern w:val="0"/>
          <w:sz w:val="32"/>
          <w:szCs w:val="32"/>
          <w:highlight w:val="none"/>
        </w:rPr>
        <w:t>评价等级为</w:t>
      </w:r>
      <w:r>
        <w:rPr>
          <w:rFonts w:hint="eastAsia" w:ascii="仿宋" w:hAnsi="仿宋"/>
          <w:color w:val="auto"/>
          <w:kern w:val="0"/>
          <w:sz w:val="32"/>
          <w:szCs w:val="32"/>
          <w:highlight w:val="none"/>
          <w:lang w:val="en-US" w:eastAsia="zh-CN"/>
        </w:rPr>
        <w:t>良</w:t>
      </w:r>
      <w:r>
        <w:rPr>
          <w:rFonts w:hint="eastAsia" w:ascii="仿宋" w:hAnsi="仿宋" w:cs="仿宋"/>
          <w:color w:val="auto"/>
          <w:sz w:val="32"/>
          <w:szCs w:val="32"/>
          <w:highlight w:val="none"/>
        </w:rPr>
        <w:t>，评分详情见下表：</w:t>
      </w:r>
    </w:p>
    <w:tbl>
      <w:tblPr>
        <w:tblStyle w:val="24"/>
        <w:tblW w:w="5000" w:type="pct"/>
        <w:tblInd w:w="0" w:type="dxa"/>
        <w:tblLayout w:type="autofit"/>
        <w:tblCellMar>
          <w:top w:w="15" w:type="dxa"/>
          <w:left w:w="15" w:type="dxa"/>
          <w:bottom w:w="15" w:type="dxa"/>
          <w:right w:w="15" w:type="dxa"/>
        </w:tblCellMar>
      </w:tblPr>
      <w:tblGrid>
        <w:gridCol w:w="1540"/>
        <w:gridCol w:w="1071"/>
        <w:gridCol w:w="1391"/>
        <w:gridCol w:w="1526"/>
        <w:gridCol w:w="1813"/>
        <w:gridCol w:w="1534"/>
      </w:tblGrid>
      <w:tr>
        <w:tblPrEx>
          <w:tblCellMar>
            <w:top w:w="15" w:type="dxa"/>
            <w:left w:w="15" w:type="dxa"/>
            <w:bottom w:w="15" w:type="dxa"/>
            <w:right w:w="15" w:type="dxa"/>
          </w:tblCellMar>
        </w:tblPrEx>
        <w:trPr>
          <w:trHeight w:val="567" w:hRule="exact"/>
          <w:tblHeader/>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bookmarkStart w:id="6" w:name="_Toc26189"/>
            <w:bookmarkStart w:id="7" w:name="_Toc45724240"/>
            <w:bookmarkStart w:id="8" w:name="_Toc19502"/>
            <w:bookmarkStart w:id="9" w:name="_Toc11812"/>
            <w:r>
              <w:rPr>
                <w:rFonts w:ascii="仿宋" w:hAnsi="仿宋" w:cs="Times New Roman"/>
                <w:b/>
                <w:color w:val="auto"/>
                <w:kern w:val="0"/>
                <w:sz w:val="28"/>
                <w:szCs w:val="28"/>
                <w:highlight w:val="none"/>
              </w:rPr>
              <w:t>评价指标</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权重</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评级分值</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项目得分</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得分率</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评价级别</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项目决策</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1</w:t>
            </w:r>
            <w:r>
              <w:rPr>
                <w:rFonts w:hint="eastAsia" w:ascii="仿宋" w:hAnsi="仿宋" w:cs="Times New Roman"/>
                <w:color w:val="auto"/>
                <w:kern w:val="0"/>
                <w:sz w:val="28"/>
                <w:szCs w:val="28"/>
                <w:highlight w:val="none"/>
              </w:rPr>
              <w:t>2</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1</w:t>
            </w:r>
            <w:r>
              <w:rPr>
                <w:rFonts w:hint="eastAsia" w:ascii="仿宋" w:hAnsi="仿宋" w:cs="Times New Roman"/>
                <w:color w:val="auto"/>
                <w:kern w:val="0"/>
                <w:sz w:val="28"/>
                <w:szCs w:val="28"/>
                <w:highlight w:val="none"/>
              </w:rPr>
              <w:t>2</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default" w:ascii="仿宋" w:hAnsi="仿宋" w:cs="Times New Roman"/>
                <w:color w:val="auto"/>
                <w:kern w:val="0"/>
                <w:sz w:val="28"/>
                <w:szCs w:val="28"/>
                <w:highlight w:val="none"/>
                <w:lang w:val="en-US"/>
              </w:rPr>
            </w:pPr>
            <w:r>
              <w:rPr>
                <w:rFonts w:hint="eastAsia" w:ascii="仿宋" w:hAnsi="仿宋" w:cs="Times New Roman"/>
                <w:color w:val="auto"/>
                <w:kern w:val="0"/>
                <w:sz w:val="28"/>
                <w:szCs w:val="28"/>
                <w:highlight w:val="none"/>
                <w:lang w:val="en-US" w:eastAsia="zh-CN"/>
              </w:rPr>
              <w:t>8.00</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66.67</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eastAsia" w:ascii="仿宋" w:hAnsi="仿宋" w:eastAsia="仿宋" w:cs="Times New Roman"/>
                <w:color w:val="auto"/>
                <w:kern w:val="0"/>
                <w:sz w:val="28"/>
                <w:szCs w:val="28"/>
                <w:highlight w:val="none"/>
                <w:lang w:eastAsia="zh-CN"/>
              </w:rPr>
            </w:pPr>
            <w:r>
              <w:rPr>
                <w:rFonts w:hint="eastAsia" w:ascii="仿宋" w:hAnsi="仿宋" w:cs="Times New Roman"/>
                <w:b w:val="0"/>
                <w:bCs/>
                <w:color w:val="auto"/>
                <w:kern w:val="0"/>
                <w:sz w:val="28"/>
                <w:szCs w:val="28"/>
                <w:highlight w:val="none"/>
                <w:lang w:val="en-US" w:eastAsia="zh-CN"/>
              </w:rPr>
              <w:t>中</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项目过程</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2</w:t>
            </w:r>
            <w:r>
              <w:rPr>
                <w:rFonts w:hint="eastAsia" w:ascii="仿宋" w:hAnsi="仿宋" w:cs="Times New Roman"/>
                <w:color w:val="auto"/>
                <w:kern w:val="0"/>
                <w:sz w:val="28"/>
                <w:szCs w:val="28"/>
                <w:highlight w:val="none"/>
                <w:lang w:val="en-US" w:eastAsia="zh-CN"/>
              </w:rPr>
              <w:t>3</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eastAsia" w:ascii="仿宋" w:hAnsi="仿宋" w:eastAsia="仿宋" w:cs="Times New Roman"/>
                <w:color w:val="auto"/>
                <w:kern w:val="0"/>
                <w:sz w:val="28"/>
                <w:szCs w:val="28"/>
                <w:highlight w:val="none"/>
                <w:lang w:eastAsia="zh-CN"/>
              </w:rPr>
            </w:pPr>
            <w:r>
              <w:rPr>
                <w:rFonts w:ascii="仿宋" w:hAnsi="仿宋" w:cs="Times New Roman"/>
                <w:color w:val="auto"/>
                <w:kern w:val="0"/>
                <w:sz w:val="28"/>
                <w:szCs w:val="28"/>
                <w:highlight w:val="none"/>
              </w:rPr>
              <w:t>2</w:t>
            </w:r>
            <w:r>
              <w:rPr>
                <w:rFonts w:hint="eastAsia" w:ascii="仿宋" w:hAnsi="仿宋" w:cs="Times New Roman"/>
                <w:color w:val="auto"/>
                <w:kern w:val="0"/>
                <w:sz w:val="28"/>
                <w:szCs w:val="28"/>
                <w:highlight w:val="none"/>
                <w:lang w:val="en-US" w:eastAsia="zh-CN"/>
              </w:rPr>
              <w:t>3</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19.95</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86.74</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eastAsia" w:ascii="仿宋" w:hAnsi="仿宋" w:eastAsia="仿宋" w:cs="Times New Roman"/>
                <w:color w:val="auto"/>
                <w:kern w:val="0"/>
                <w:sz w:val="28"/>
                <w:szCs w:val="28"/>
                <w:highlight w:val="none"/>
                <w:lang w:eastAsia="zh-CN"/>
              </w:rPr>
            </w:pPr>
            <w:r>
              <w:rPr>
                <w:rFonts w:hint="eastAsia" w:ascii="仿宋" w:hAnsi="仿宋" w:cs="Times New Roman"/>
                <w:color w:val="auto"/>
                <w:kern w:val="0"/>
                <w:sz w:val="28"/>
                <w:szCs w:val="28"/>
                <w:highlight w:val="none"/>
                <w:lang w:val="en-US" w:eastAsia="zh-CN"/>
              </w:rPr>
              <w:t>良</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项目产出</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30</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30</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26.00</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86.67</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良</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项目效果</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35</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35</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29.43</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84.09</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eastAsia" w:ascii="仿宋" w:hAnsi="仿宋" w:eastAsia="仿宋" w:cs="Times New Roman"/>
                <w:color w:val="auto"/>
                <w:kern w:val="0"/>
                <w:sz w:val="28"/>
                <w:szCs w:val="28"/>
                <w:highlight w:val="none"/>
                <w:lang w:eastAsia="zh-CN"/>
              </w:rPr>
            </w:pPr>
            <w:r>
              <w:rPr>
                <w:rFonts w:hint="eastAsia" w:ascii="仿宋" w:hAnsi="仿宋" w:cs="Times New Roman"/>
                <w:color w:val="auto"/>
                <w:kern w:val="0"/>
                <w:sz w:val="28"/>
                <w:szCs w:val="28"/>
                <w:highlight w:val="none"/>
                <w:lang w:val="en-US" w:eastAsia="zh-CN"/>
              </w:rPr>
              <w:t>良</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综合绩效</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100%</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100</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default" w:ascii="仿宋" w:hAnsi="仿宋" w:eastAsia="仿宋" w:cs="Times New Roman"/>
                <w:b/>
                <w:color w:val="auto"/>
                <w:kern w:val="0"/>
                <w:sz w:val="28"/>
                <w:szCs w:val="28"/>
                <w:highlight w:val="none"/>
                <w:lang w:val="en-US" w:eastAsia="zh-CN"/>
              </w:rPr>
            </w:pPr>
            <w:r>
              <w:rPr>
                <w:rFonts w:hint="eastAsia" w:ascii="仿宋" w:hAnsi="仿宋" w:cs="Times New Roman"/>
                <w:b/>
                <w:color w:val="auto"/>
                <w:kern w:val="0"/>
                <w:sz w:val="28"/>
                <w:szCs w:val="28"/>
                <w:highlight w:val="none"/>
                <w:lang w:val="en-US" w:eastAsia="zh-CN"/>
              </w:rPr>
              <w:t>83.38</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ascii="仿宋" w:hAnsi="仿宋" w:cs="Times New Roman"/>
                <w:b/>
                <w:color w:val="auto"/>
                <w:kern w:val="0"/>
                <w:sz w:val="28"/>
                <w:szCs w:val="28"/>
                <w:highlight w:val="none"/>
              </w:rPr>
            </w:pPr>
            <w:r>
              <w:rPr>
                <w:rFonts w:hint="eastAsia" w:ascii="仿宋" w:hAnsi="仿宋" w:cs="Times New Roman"/>
                <w:b/>
                <w:color w:val="auto"/>
                <w:kern w:val="0"/>
                <w:sz w:val="28"/>
                <w:szCs w:val="28"/>
                <w:highlight w:val="none"/>
                <w:lang w:val="en-US" w:eastAsia="zh-CN"/>
              </w:rPr>
              <w:t>83.38</w:t>
            </w:r>
            <w:r>
              <w:rPr>
                <w:rFonts w:ascii="仿宋" w:hAnsi="仿宋" w:cs="Times New Roman"/>
                <w:b/>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bidi w:val="0"/>
              <w:spacing w:line="560" w:lineRule="exact"/>
              <w:ind w:left="0"/>
              <w:jc w:val="center"/>
              <w:textAlignment w:val="center"/>
              <w:rPr>
                <w:rFonts w:hint="eastAsia" w:ascii="仿宋" w:hAnsi="仿宋" w:eastAsia="仿宋" w:cs="Times New Roman"/>
                <w:b/>
                <w:color w:val="auto"/>
                <w:kern w:val="0"/>
                <w:sz w:val="28"/>
                <w:szCs w:val="28"/>
                <w:highlight w:val="none"/>
                <w:lang w:eastAsia="zh-CN"/>
              </w:rPr>
            </w:pPr>
            <w:r>
              <w:rPr>
                <w:rFonts w:hint="eastAsia" w:ascii="仿宋" w:hAnsi="仿宋" w:cs="Times New Roman"/>
                <w:color w:val="auto"/>
                <w:kern w:val="0"/>
                <w:sz w:val="28"/>
                <w:szCs w:val="28"/>
                <w:highlight w:val="none"/>
                <w:lang w:val="en-US" w:eastAsia="zh-CN"/>
              </w:rPr>
              <w:t>良</w:t>
            </w:r>
          </w:p>
        </w:tc>
      </w:tr>
    </w:tbl>
    <w:p>
      <w:pPr>
        <w:pStyle w:val="5"/>
        <w:pageBreakBefore w:val="0"/>
        <w:kinsoku/>
        <w:wordWrap/>
        <w:overflowPunct/>
        <w:topLinePunct w:val="0"/>
        <w:bidi w:val="0"/>
        <w:spacing w:before="0" w:after="0" w:line="560" w:lineRule="exact"/>
        <w:ind w:left="0"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（二）绩效指标完成情况</w:t>
      </w:r>
      <w:bookmarkEnd w:id="6"/>
      <w:bookmarkEnd w:id="7"/>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cs="仿宋"/>
          <w:bCs/>
          <w:color w:val="auto"/>
          <w:sz w:val="32"/>
          <w:szCs w:val="32"/>
          <w:highlight w:val="none"/>
        </w:rPr>
      </w:pPr>
      <w:r>
        <w:rPr>
          <w:rFonts w:hint="eastAsia" w:ascii="仿宋" w:hAnsi="仿宋" w:cs="仿宋"/>
          <w:color w:val="auto"/>
          <w:sz w:val="32"/>
          <w:szCs w:val="32"/>
          <w:highlight w:val="none"/>
        </w:rPr>
        <w:t>1、在项目决策阶段，</w:t>
      </w:r>
      <w:r>
        <w:rPr>
          <w:rFonts w:hint="eastAsia" w:ascii="仿宋" w:hAnsi="仿宋" w:cs="仿宋"/>
          <w:bCs/>
          <w:color w:val="auto"/>
          <w:sz w:val="32"/>
          <w:szCs w:val="32"/>
          <w:highlight w:val="none"/>
        </w:rPr>
        <w:t>立项总体符合国家法律法规、国民经济发展规划，符合行业发展规划和政策要求，与项目实施单位职责密切相关</w:t>
      </w:r>
      <w:r>
        <w:rPr>
          <w:rFonts w:hint="eastAsia" w:ascii="仿宋" w:hAnsi="仿宋" w:cs="仿宋"/>
          <w:bCs/>
          <w:color w:val="auto"/>
          <w:sz w:val="32"/>
          <w:szCs w:val="32"/>
          <w:highlight w:val="none"/>
          <w:lang w:eastAsia="zh-CN"/>
        </w:rPr>
        <w:t>，</w:t>
      </w:r>
      <w:r>
        <w:rPr>
          <w:rFonts w:hint="eastAsia" w:ascii="仿宋" w:hAnsi="仿宋" w:cs="仿宋"/>
          <w:bCs/>
          <w:color w:val="auto"/>
          <w:sz w:val="32"/>
          <w:szCs w:val="32"/>
          <w:highlight w:val="none"/>
        </w:rPr>
        <w:t>属于公共财政支持范围，部门内部无相关项目重复。项目按照规定的程序申请设立，设定了总目标和绩效指标，但是目标和指标的设计不符合目标管理规范，绩效指标量化较差。预算编制未按照标准编制，未充分考虑上年结余结转和本年上级补助资金来源。</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 w:hAnsi="仿宋" w:cs="仿宋"/>
          <w:color w:val="auto"/>
          <w:sz w:val="32"/>
          <w:szCs w:val="32"/>
          <w:highlight w:val="none"/>
        </w:rPr>
      </w:pPr>
      <w:r>
        <w:rPr>
          <w:rFonts w:hint="eastAsia" w:ascii="仿宋" w:hAnsi="仿宋" w:cs="仿宋"/>
          <w:bCs/>
          <w:color w:val="auto"/>
          <w:sz w:val="32"/>
          <w:szCs w:val="32"/>
          <w:highlight w:val="none"/>
        </w:rPr>
        <w:t>标准分12分，扣分</w:t>
      </w:r>
      <w:r>
        <w:rPr>
          <w:rFonts w:hint="eastAsia" w:ascii="仿宋" w:hAnsi="仿宋" w:cs="仿宋"/>
          <w:bCs/>
          <w:color w:val="auto"/>
          <w:sz w:val="32"/>
          <w:szCs w:val="32"/>
          <w:highlight w:val="none"/>
          <w:lang w:val="en-US" w:eastAsia="zh-CN"/>
        </w:rPr>
        <w:t>4.00</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8.00</w:t>
      </w:r>
      <w:r>
        <w:rPr>
          <w:rFonts w:hint="eastAsia" w:ascii="仿宋" w:hAnsi="仿宋" w:cs="仿宋"/>
          <w:bCs/>
          <w:color w:val="auto"/>
          <w:sz w:val="32"/>
          <w:szCs w:val="32"/>
          <w:highlight w:val="none"/>
        </w:rPr>
        <w:t>分。</w:t>
      </w:r>
    </w:p>
    <w:p>
      <w:pPr>
        <w:pageBreakBefore w:val="0"/>
        <w:numPr>
          <w:ilvl w:val="0"/>
          <w:numId w:val="1"/>
        </w:numPr>
        <w:kinsoku/>
        <w:wordWrap/>
        <w:overflowPunct/>
        <w:topLinePunct w:val="0"/>
        <w:bidi w:val="0"/>
        <w:spacing w:line="560" w:lineRule="exact"/>
        <w:ind w:left="0" w:firstLine="640" w:firstLineChars="200"/>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rPr>
        <w:t>在项目过程阶段，项目管理制度和财务制度基本健全，项目</w:t>
      </w:r>
      <w:r>
        <w:rPr>
          <w:rFonts w:hint="eastAsia" w:ascii="仿宋" w:hAnsi="仿宋" w:cs="仿宋"/>
          <w:bCs/>
          <w:color w:val="auto"/>
          <w:sz w:val="32"/>
          <w:szCs w:val="32"/>
          <w:highlight w:val="none"/>
        </w:rPr>
        <w:t>资金流出均执行了审批流程，手续完备，附件完整</w:t>
      </w:r>
      <w:r>
        <w:rPr>
          <w:rFonts w:hint="eastAsia" w:ascii="仿宋" w:hAnsi="仿宋" w:cs="仿宋"/>
          <w:bCs/>
          <w:color w:val="auto"/>
          <w:sz w:val="32"/>
          <w:szCs w:val="32"/>
          <w:highlight w:val="none"/>
          <w:lang w:eastAsia="zh-CN"/>
        </w:rPr>
        <w:t>。但存在在“2022年市场管理专项经费”中列支慈善捐款1000元，用于弥补公用经费不足。预算执行率偏低（79.03%）</w:t>
      </w:r>
      <w:r>
        <w:rPr>
          <w:rFonts w:hint="eastAsia" w:ascii="仿宋" w:hAnsi="仿宋" w:cs="仿宋"/>
          <w:color w:val="auto"/>
          <w:sz w:val="32"/>
          <w:szCs w:val="32"/>
          <w:highlight w:val="none"/>
          <w:lang w:eastAsia="zh-CN"/>
        </w:rPr>
        <w:t>。</w:t>
      </w:r>
    </w:p>
    <w:p>
      <w:pPr>
        <w:pageBreakBefore w:val="0"/>
        <w:numPr>
          <w:ilvl w:val="0"/>
          <w:numId w:val="0"/>
        </w:numPr>
        <w:kinsoku/>
        <w:wordWrap/>
        <w:overflowPunct/>
        <w:topLinePunct w:val="0"/>
        <w:bidi w:val="0"/>
        <w:spacing w:line="560" w:lineRule="exact"/>
        <w:ind w:left="0" w:firstLine="640" w:firstLineChars="200"/>
        <w:rPr>
          <w:rFonts w:ascii="仿宋" w:hAnsi="仿宋" w:cs="仿宋"/>
          <w:color w:val="auto"/>
          <w:sz w:val="32"/>
          <w:szCs w:val="32"/>
          <w:highlight w:val="none"/>
        </w:rPr>
      </w:pPr>
      <w:r>
        <w:rPr>
          <w:rFonts w:hint="eastAsia" w:ascii="仿宋" w:hAnsi="仿宋" w:cs="仿宋"/>
          <w:bCs/>
          <w:color w:val="auto"/>
          <w:sz w:val="32"/>
          <w:szCs w:val="32"/>
          <w:highlight w:val="none"/>
        </w:rPr>
        <w:t>标准分2</w:t>
      </w:r>
      <w:r>
        <w:rPr>
          <w:rFonts w:hint="eastAsia" w:ascii="仿宋" w:hAnsi="仿宋" w:cs="仿宋"/>
          <w:bCs/>
          <w:color w:val="auto"/>
          <w:sz w:val="32"/>
          <w:szCs w:val="32"/>
          <w:highlight w:val="none"/>
          <w:lang w:val="en-US" w:eastAsia="zh-CN"/>
        </w:rPr>
        <w:t>3</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3.05</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19.95</w:t>
      </w:r>
      <w:r>
        <w:rPr>
          <w:rFonts w:hint="eastAsia" w:ascii="仿宋" w:hAnsi="仿宋" w:cs="仿宋"/>
          <w:bCs/>
          <w:color w:val="auto"/>
          <w:sz w:val="32"/>
          <w:szCs w:val="32"/>
          <w:highlight w:val="none"/>
        </w:rPr>
        <w:t>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项目产出阶段，产出指标（数量、质量</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时效</w:t>
      </w:r>
      <w:r>
        <w:rPr>
          <w:rFonts w:hint="eastAsia" w:ascii="仿宋" w:hAnsi="仿宋" w:cs="仿宋"/>
          <w:color w:val="auto"/>
          <w:sz w:val="32"/>
          <w:szCs w:val="32"/>
          <w:highlight w:val="none"/>
        </w:rPr>
        <w:t>）总体完成较好，</w:t>
      </w:r>
      <w:r>
        <w:rPr>
          <w:rFonts w:hint="eastAsia" w:ascii="仿宋" w:hAnsi="仿宋" w:cs="仿宋"/>
          <w:color w:val="auto"/>
          <w:sz w:val="32"/>
          <w:szCs w:val="32"/>
          <w:highlight w:val="none"/>
          <w:lang w:val="en-US" w:eastAsia="zh-CN"/>
        </w:rPr>
        <w:t>但知识产权资助完成率过低（仅20%）</w:t>
      </w:r>
      <w:r>
        <w:rPr>
          <w:rFonts w:hint="eastAsia" w:ascii="仿宋" w:hAnsi="仿宋" w:cs="仿宋"/>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ascii="仿宋" w:hAnsi="仿宋" w:cs="仿宋"/>
          <w:color w:val="auto"/>
          <w:sz w:val="32"/>
          <w:szCs w:val="32"/>
          <w:highlight w:val="none"/>
        </w:rPr>
      </w:pPr>
      <w:r>
        <w:rPr>
          <w:rFonts w:hint="eastAsia" w:ascii="仿宋" w:hAnsi="仿宋" w:cs="仿宋"/>
          <w:bCs/>
          <w:color w:val="auto"/>
          <w:sz w:val="32"/>
          <w:szCs w:val="32"/>
          <w:highlight w:val="none"/>
        </w:rPr>
        <w:t>标准分</w:t>
      </w:r>
      <w:r>
        <w:rPr>
          <w:rFonts w:hint="eastAsia" w:ascii="仿宋" w:hAnsi="仿宋" w:cs="仿宋"/>
          <w:bCs/>
          <w:color w:val="auto"/>
          <w:sz w:val="32"/>
          <w:szCs w:val="32"/>
          <w:highlight w:val="none"/>
          <w:lang w:val="en-US" w:eastAsia="zh-CN"/>
        </w:rPr>
        <w:t>30</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4.00</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26.00</w:t>
      </w:r>
      <w:r>
        <w:rPr>
          <w:rFonts w:hint="eastAsia" w:ascii="仿宋" w:hAnsi="仿宋" w:cs="仿宋"/>
          <w:bCs/>
          <w:color w:val="auto"/>
          <w:sz w:val="32"/>
          <w:szCs w:val="32"/>
          <w:highlight w:val="none"/>
        </w:rPr>
        <w:t>分。</w:t>
      </w:r>
    </w:p>
    <w:p>
      <w:pPr>
        <w:pageBreakBefore w:val="0"/>
        <w:kinsoku/>
        <w:wordWrap/>
        <w:overflowPunct/>
        <w:topLinePunct w:val="0"/>
        <w:bidi w:val="0"/>
        <w:spacing w:line="560" w:lineRule="exact"/>
        <w:ind w:left="0" w:firstLine="640" w:firstLineChars="200"/>
        <w:outlineLvl w:val="0"/>
        <w:rPr>
          <w:rFonts w:hint="eastAsia" w:ascii="仿宋" w:hAnsi="仿宋" w:cs="仿宋"/>
          <w:color w:val="auto"/>
          <w:sz w:val="32"/>
          <w:szCs w:val="32"/>
          <w:highlight w:val="none"/>
        </w:rPr>
      </w:pPr>
      <w:r>
        <w:rPr>
          <w:rFonts w:hint="eastAsia" w:ascii="仿宋" w:hAnsi="仿宋" w:cs="仿宋"/>
          <w:color w:val="auto"/>
          <w:sz w:val="32"/>
          <w:szCs w:val="32"/>
          <w:highlight w:val="none"/>
        </w:rPr>
        <w:t>4、项目效益阶段，</w:t>
      </w:r>
    </w:p>
    <w:p>
      <w:pPr>
        <w:pageBreakBefore w:val="0"/>
        <w:kinsoku/>
        <w:wordWrap/>
        <w:overflowPunct/>
        <w:topLinePunct w:val="0"/>
        <w:bidi w:val="0"/>
        <w:spacing w:line="560" w:lineRule="exact"/>
        <w:ind w:left="0" w:firstLine="640" w:firstLineChars="200"/>
        <w:outlineLvl w:val="0"/>
        <w:rPr>
          <w:rFonts w:hint="eastAsia" w:ascii="仿宋" w:hAnsi="仿宋" w:cs="仿宋"/>
          <w:bCs/>
          <w:color w:val="auto"/>
          <w:sz w:val="32"/>
          <w:szCs w:val="32"/>
          <w:highlight w:val="none"/>
        </w:rPr>
      </w:pPr>
      <w:r>
        <w:rPr>
          <w:rFonts w:hint="eastAsia" w:ascii="仿宋" w:hAnsi="仿宋" w:cs="仿宋"/>
          <w:color w:val="auto"/>
          <w:sz w:val="32"/>
          <w:szCs w:val="32"/>
          <w:highlight w:val="none"/>
        </w:rPr>
        <w:t>项目进行后社会效益显著</w:t>
      </w:r>
      <w:r>
        <w:rPr>
          <w:rFonts w:hint="eastAsia" w:ascii="仿宋" w:hAnsi="仿宋" w:cs="仿宋"/>
          <w:bCs/>
          <w:color w:val="auto"/>
          <w:sz w:val="32"/>
          <w:szCs w:val="32"/>
          <w:highlight w:val="none"/>
        </w:rPr>
        <w:t>（</w:t>
      </w:r>
      <w:r>
        <w:rPr>
          <w:rFonts w:hint="eastAsia" w:ascii="仿宋" w:hAnsi="仿宋" w:cs="仿宋"/>
          <w:color w:val="auto"/>
          <w:sz w:val="32"/>
          <w:szCs w:val="32"/>
          <w:highlight w:val="none"/>
          <w:lang w:eastAsia="zh-CN"/>
        </w:rPr>
        <w:t>推动审批制度改革，优化经济发展环境。改进政务服务方式，促进企业创新发展。加强食品安全监管，保障舌尖上的安全。加强药品安全监管，保障居民用药安全。加强特种设备监管，保障设备使用安全。加强产品质量监管，保障产品质量安全。</w:t>
      </w:r>
      <w:r>
        <w:rPr>
          <w:rFonts w:hint="eastAsia" w:ascii="仿宋" w:hAnsi="仿宋" w:cs="仿宋"/>
          <w:color w:val="auto"/>
          <w:sz w:val="32"/>
          <w:szCs w:val="32"/>
          <w:highlight w:val="none"/>
        </w:rPr>
        <w:t>项目的实施，以市场监督管理相关法律法规为依据，纳入国民经济和社会发展规划。作为延续性项目，中央、省市安排年度补助资金予以支持，项目将产生可持续性影响。公众综合满意度较高（</w:t>
      </w:r>
      <w:r>
        <w:rPr>
          <w:rFonts w:hint="eastAsia" w:ascii="仿宋" w:hAnsi="仿宋" w:cs="仿宋"/>
          <w:color w:val="auto"/>
          <w:sz w:val="32"/>
          <w:szCs w:val="32"/>
          <w:highlight w:val="none"/>
          <w:lang w:val="en-US" w:eastAsia="zh-CN"/>
        </w:rPr>
        <w:t>81.25</w:t>
      </w:r>
      <w:r>
        <w:rPr>
          <w:rFonts w:hint="eastAsia" w:ascii="仿宋" w:hAnsi="仿宋" w:cs="仿宋"/>
          <w:color w:val="auto"/>
          <w:sz w:val="32"/>
          <w:szCs w:val="32"/>
          <w:highlight w:val="none"/>
        </w:rPr>
        <w:t>%）</w:t>
      </w:r>
      <w:r>
        <w:rPr>
          <w:rFonts w:hint="eastAsia" w:ascii="仿宋" w:hAnsi="仿宋" w:cs="仿宋"/>
          <w:bCs/>
          <w:color w:val="auto"/>
          <w:sz w:val="32"/>
          <w:szCs w:val="32"/>
          <w:highlight w:val="none"/>
        </w:rPr>
        <w:t>。</w:t>
      </w:r>
    </w:p>
    <w:p>
      <w:pPr>
        <w:pageBreakBefore w:val="0"/>
        <w:kinsoku/>
        <w:wordWrap/>
        <w:overflowPunct/>
        <w:topLinePunct w:val="0"/>
        <w:bidi w:val="0"/>
        <w:spacing w:line="560" w:lineRule="exact"/>
        <w:ind w:left="0" w:firstLine="640" w:firstLineChars="200"/>
        <w:outlineLvl w:val="0"/>
        <w:rPr>
          <w:rFonts w:ascii="仿宋" w:hAnsi="仿宋" w:cs="仿宋"/>
          <w:bCs/>
          <w:color w:val="auto"/>
          <w:sz w:val="32"/>
          <w:szCs w:val="32"/>
          <w:highlight w:val="none"/>
        </w:rPr>
      </w:pPr>
      <w:r>
        <w:rPr>
          <w:rFonts w:hint="eastAsia" w:ascii="仿宋" w:hAnsi="仿宋" w:cs="仿宋"/>
          <w:bCs/>
          <w:color w:val="auto"/>
          <w:sz w:val="32"/>
          <w:szCs w:val="32"/>
          <w:highlight w:val="none"/>
        </w:rPr>
        <w:t>标准分</w:t>
      </w:r>
      <w:r>
        <w:rPr>
          <w:rFonts w:hint="eastAsia" w:ascii="仿宋" w:hAnsi="仿宋" w:cs="仿宋"/>
          <w:bCs/>
          <w:color w:val="auto"/>
          <w:sz w:val="32"/>
          <w:szCs w:val="32"/>
          <w:highlight w:val="none"/>
          <w:lang w:val="en-US" w:eastAsia="zh-CN"/>
        </w:rPr>
        <w:t>35</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5.57</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29.43</w:t>
      </w:r>
      <w:r>
        <w:rPr>
          <w:rFonts w:hint="eastAsia" w:ascii="仿宋" w:hAnsi="仿宋" w:cs="仿宋"/>
          <w:bCs/>
          <w:color w:val="auto"/>
          <w:sz w:val="32"/>
          <w:szCs w:val="32"/>
          <w:highlight w:val="none"/>
        </w:rPr>
        <w:t>分。</w:t>
      </w:r>
    </w:p>
    <w:p>
      <w:pPr>
        <w:pStyle w:val="5"/>
        <w:pageBreakBefore w:val="0"/>
        <w:kinsoku/>
        <w:wordWrap/>
        <w:overflowPunct/>
        <w:topLinePunct w:val="0"/>
        <w:bidi w:val="0"/>
        <w:spacing w:before="0" w:after="0" w:line="560" w:lineRule="exact"/>
        <w:ind w:left="0" w:firstLine="640" w:firstLineChars="200"/>
        <w:rPr>
          <w:rStyle w:val="28"/>
          <w:rFonts w:ascii="楷体" w:hAnsi="楷体" w:eastAsia="楷体" w:cs="楷体"/>
          <w:color w:val="auto"/>
          <w:sz w:val="32"/>
          <w:szCs w:val="32"/>
          <w:highlight w:val="none"/>
        </w:rPr>
      </w:pPr>
      <w:bookmarkStart w:id="10" w:name="_Toc11596"/>
      <w:bookmarkStart w:id="11" w:name="_Toc7784"/>
      <w:bookmarkStart w:id="12" w:name="_Toc23868"/>
      <w:bookmarkStart w:id="13" w:name="_Toc45724241"/>
      <w:r>
        <w:rPr>
          <w:rFonts w:hint="eastAsia" w:ascii="楷体" w:hAnsi="楷体" w:eastAsia="楷体" w:cs="楷体"/>
          <w:color w:val="auto"/>
          <w:sz w:val="32"/>
          <w:szCs w:val="32"/>
          <w:highlight w:val="none"/>
        </w:rPr>
        <w:t>（三）存在的问题</w:t>
      </w:r>
      <w:bookmarkEnd w:id="10"/>
      <w:bookmarkEnd w:id="11"/>
      <w:bookmarkEnd w:id="12"/>
      <w:bookmarkEnd w:id="13"/>
    </w:p>
    <w:p>
      <w:pPr>
        <w:pageBreakBefore w:val="0"/>
        <w:kinsoku/>
        <w:wordWrap/>
        <w:overflowPunct/>
        <w:topLinePunct w:val="0"/>
        <w:bidi w:val="0"/>
        <w:spacing w:line="560" w:lineRule="exact"/>
        <w:ind w:left="0" w:firstLine="643" w:firstLineChars="200"/>
        <w:rPr>
          <w:rFonts w:ascii="仿宋" w:hAnsi="仿宋" w:cs="仿宋"/>
          <w:b/>
          <w:bCs/>
          <w:color w:val="auto"/>
          <w:sz w:val="32"/>
          <w:szCs w:val="32"/>
          <w:highlight w:val="none"/>
        </w:rPr>
      </w:pPr>
      <w:r>
        <w:rPr>
          <w:rFonts w:hint="eastAsia" w:ascii="仿宋" w:hAnsi="仿宋" w:cs="仿宋"/>
          <w:b/>
          <w:bCs/>
          <w:color w:val="auto"/>
          <w:sz w:val="32"/>
          <w:szCs w:val="32"/>
          <w:highlight w:val="none"/>
        </w:rPr>
        <w:t>上年度或以前年度绩效评价结果应用情况</w:t>
      </w:r>
    </w:p>
    <w:p>
      <w:pPr>
        <w:pageBreakBefore w:val="0"/>
        <w:kinsoku/>
        <w:wordWrap/>
        <w:overflowPunct/>
        <w:topLinePunct w:val="0"/>
        <w:bidi w:val="0"/>
        <w:spacing w:line="560" w:lineRule="exact"/>
        <w:ind w:left="0" w:firstLine="640" w:firstLineChars="200"/>
        <w:rPr>
          <w:rFonts w:ascii="仿宋" w:hAnsi="仿宋" w:cs="仿宋"/>
          <w:color w:val="auto"/>
          <w:sz w:val="32"/>
          <w:szCs w:val="32"/>
          <w:highlight w:val="none"/>
        </w:rPr>
      </w:pPr>
      <w:r>
        <w:rPr>
          <w:rFonts w:hint="eastAsia" w:ascii="仿宋" w:hAnsi="仿宋" w:cs="仿宋"/>
          <w:color w:val="auto"/>
          <w:sz w:val="32"/>
          <w:szCs w:val="32"/>
          <w:highlight w:val="none"/>
        </w:rPr>
        <w:t>上年度或以前年度无“</w:t>
      </w:r>
      <w:r>
        <w:rPr>
          <w:rFonts w:hint="eastAsia" w:ascii="仿宋" w:hAnsi="仿宋" w:cs="仿宋"/>
          <w:color w:val="auto"/>
          <w:kern w:val="0"/>
          <w:sz w:val="32"/>
          <w:szCs w:val="32"/>
          <w:highlight w:val="none"/>
          <w:lang w:eastAsia="zh-CN"/>
        </w:rPr>
        <w:t>市场监督管理专项经费项目</w:t>
      </w:r>
      <w:r>
        <w:rPr>
          <w:rFonts w:hint="eastAsia" w:ascii="仿宋" w:hAnsi="仿宋" w:cs="仿宋"/>
          <w:color w:val="auto"/>
          <w:sz w:val="32"/>
          <w:szCs w:val="32"/>
          <w:highlight w:val="none"/>
        </w:rPr>
        <w:t>”的绩效评价，故无相关绩效评价结果应用。</w:t>
      </w:r>
    </w:p>
    <w:p>
      <w:pPr>
        <w:pageBreakBefore w:val="0"/>
        <w:kinsoku/>
        <w:wordWrap/>
        <w:overflowPunct/>
        <w:topLinePunct w:val="0"/>
        <w:bidi w:val="0"/>
        <w:spacing w:line="560" w:lineRule="exact"/>
        <w:ind w:left="0" w:firstLine="643" w:firstLineChars="200"/>
        <w:rPr>
          <w:rFonts w:ascii="仿宋" w:hAnsi="仿宋" w:cs="仿宋"/>
          <w:b/>
          <w:bCs/>
          <w:color w:val="auto"/>
          <w:sz w:val="32"/>
          <w:szCs w:val="32"/>
          <w:highlight w:val="none"/>
        </w:rPr>
      </w:pPr>
      <w:r>
        <w:rPr>
          <w:rFonts w:hint="eastAsia" w:ascii="仿宋" w:hAnsi="仿宋" w:cs="仿宋"/>
          <w:b/>
          <w:bCs/>
          <w:color w:val="auto"/>
          <w:sz w:val="32"/>
          <w:szCs w:val="32"/>
          <w:highlight w:val="none"/>
        </w:rPr>
        <w:t>本年度绩效评价管理中发现的问题</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 w:hAnsi="仿宋" w:cs="仿宋"/>
          <w:bCs/>
          <w:color w:val="auto"/>
          <w:sz w:val="32"/>
          <w:szCs w:val="32"/>
          <w:highlight w:val="none"/>
          <w:lang w:val="en-US"/>
        </w:rPr>
      </w:pPr>
      <w:bookmarkStart w:id="14" w:name="_Toc5567"/>
      <w:bookmarkStart w:id="15" w:name="_Toc15693"/>
      <w:bookmarkStart w:id="16" w:name="_Toc45724244"/>
      <w:bookmarkStart w:id="17" w:name="_Toc15960"/>
      <w:r>
        <w:rPr>
          <w:rFonts w:hint="eastAsia" w:ascii="仿宋" w:hAnsi="仿宋" w:cs="仿宋"/>
          <w:bCs/>
          <w:color w:val="auto"/>
          <w:sz w:val="32"/>
          <w:szCs w:val="32"/>
          <w:highlight w:val="none"/>
        </w:rPr>
        <w:t>（1）</w:t>
      </w:r>
      <w:r>
        <w:rPr>
          <w:rFonts w:hint="eastAsia" w:ascii="仿宋" w:hAnsi="仿宋" w:cs="仿宋"/>
          <w:bCs/>
          <w:color w:val="auto"/>
          <w:sz w:val="32"/>
          <w:szCs w:val="32"/>
          <w:highlight w:val="none"/>
          <w:lang w:eastAsia="zh-CN"/>
        </w:rPr>
        <w:t>项目</w:t>
      </w:r>
      <w:r>
        <w:rPr>
          <w:rFonts w:hint="eastAsia" w:ascii="仿宋" w:hAnsi="仿宋" w:cs="仿宋"/>
          <w:b w:val="0"/>
          <w:bCs w:val="0"/>
          <w:color w:val="auto"/>
          <w:sz w:val="32"/>
          <w:szCs w:val="32"/>
          <w:highlight w:val="none"/>
          <w:lang w:val="en-US" w:eastAsia="zh-CN"/>
        </w:rPr>
        <w:t>绩效目标管理薄弱</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《项目支出绩效目标申报表（2022年下陆区市场管理等专项经费）》</w:t>
      </w:r>
      <w:r>
        <w:rPr>
          <w:rFonts w:hint="eastAsia" w:cs="仿宋"/>
          <w:color w:val="auto"/>
          <w:sz w:val="32"/>
          <w:szCs w:val="32"/>
          <w:highlight w:val="none"/>
          <w:lang w:val="en-US" w:eastAsia="zh-CN"/>
        </w:rPr>
        <w:t>显示:</w:t>
      </w:r>
      <w:r>
        <w:rPr>
          <w:rFonts w:hint="eastAsia" w:ascii="仿宋" w:hAnsi="仿宋" w:cs="仿宋"/>
          <w:color w:val="auto"/>
          <w:sz w:val="32"/>
          <w:szCs w:val="32"/>
          <w:highlight w:val="none"/>
          <w:lang w:eastAsia="zh-CN"/>
        </w:rPr>
        <w:t>项目设定了总目标和绩效指标，但是目标和指标的设计不符合目标管理规范，如:数量指标“市场监管宣传”的指标值设定为100%。绩效指标量化较差</w:t>
      </w:r>
      <w:r>
        <w:rPr>
          <w:rFonts w:hint="eastAsia" w:cs="仿宋"/>
          <w:color w:val="auto"/>
          <w:sz w:val="32"/>
          <w:szCs w:val="32"/>
          <w:highlight w:val="none"/>
          <w:lang w:eastAsia="zh-CN"/>
        </w:rPr>
        <w:t>，</w:t>
      </w:r>
      <w:r>
        <w:rPr>
          <w:rFonts w:hint="eastAsia" w:ascii="仿宋" w:hAnsi="仿宋" w:cs="仿宋"/>
          <w:color w:val="auto"/>
          <w:sz w:val="32"/>
          <w:szCs w:val="32"/>
          <w:highlight w:val="none"/>
          <w:lang w:eastAsia="zh-CN"/>
        </w:rPr>
        <w:t>设定的绩效指标与项目目标任务数或计划数不对应</w:t>
      </w:r>
      <w:r>
        <w:rPr>
          <w:rFonts w:hint="eastAsia" w:cs="仿宋"/>
          <w:color w:val="auto"/>
          <w:sz w:val="32"/>
          <w:szCs w:val="32"/>
          <w:highlight w:val="none"/>
          <w:lang w:eastAsia="zh-CN"/>
        </w:rPr>
        <w:t>。</w:t>
      </w:r>
    </w:p>
    <w:p>
      <w:pPr>
        <w:pStyle w:val="14"/>
        <w:pageBreakBefore w:val="0"/>
        <w:kinsoku/>
        <w:wordWrap/>
        <w:overflowPunct/>
        <w:topLinePunct w:val="0"/>
        <w:bidi w:val="0"/>
        <w:spacing w:line="560" w:lineRule="exact"/>
        <w:ind w:left="0" w:firstLine="640" w:firstLineChars="200"/>
        <w:rPr>
          <w:rFonts w:hint="default" w:eastAsia="仿宋"/>
          <w:bCs/>
          <w:color w:val="auto"/>
          <w:sz w:val="32"/>
          <w:highlight w:val="none"/>
          <w:lang w:val="en-US" w:eastAsia="zh-CN"/>
        </w:rPr>
      </w:pPr>
      <w:r>
        <w:rPr>
          <w:rFonts w:hint="eastAsia"/>
          <w:bCs/>
          <w:color w:val="auto"/>
          <w:sz w:val="32"/>
          <w:highlight w:val="none"/>
        </w:rPr>
        <w:t>（2）</w:t>
      </w:r>
      <w:r>
        <w:rPr>
          <w:rFonts w:hint="eastAsia"/>
          <w:bCs/>
          <w:color w:val="auto"/>
          <w:sz w:val="32"/>
          <w:highlight w:val="none"/>
          <w:lang w:val="en-US" w:eastAsia="zh-CN"/>
        </w:rPr>
        <w:t>项目区级预算执行率偏低</w:t>
      </w:r>
    </w:p>
    <w:p>
      <w:pPr>
        <w:pStyle w:val="14"/>
        <w:pageBreakBefore w:val="0"/>
        <w:kinsoku/>
        <w:wordWrap/>
        <w:overflowPunct/>
        <w:topLinePunct w:val="0"/>
        <w:bidi w:val="0"/>
        <w:spacing w:line="560" w:lineRule="exact"/>
        <w:ind w:left="0" w:firstLine="640" w:firstLineChars="200"/>
        <w:rPr>
          <w:bCs/>
          <w:color w:val="auto"/>
          <w:sz w:val="32"/>
          <w:highlight w:val="none"/>
          <w:lang w:val="en-US"/>
        </w:rPr>
      </w:pPr>
      <w:r>
        <w:rPr>
          <w:rFonts w:hint="eastAsia"/>
          <w:color w:val="auto"/>
          <w:sz w:val="32"/>
          <w:highlight w:val="none"/>
          <w:lang w:val="en-US" w:eastAsia="zh-CN"/>
        </w:rPr>
        <w:t>项目</w:t>
      </w:r>
      <w:r>
        <w:rPr>
          <w:rFonts w:hint="eastAsia"/>
          <w:bCs/>
          <w:color w:val="auto"/>
          <w:sz w:val="32"/>
          <w:highlight w:val="none"/>
          <w:lang w:val="en-US" w:eastAsia="zh-CN"/>
        </w:rPr>
        <w:t>区级预算</w:t>
      </w:r>
      <w:r>
        <w:rPr>
          <w:rFonts w:hint="eastAsia"/>
          <w:color w:val="auto"/>
          <w:sz w:val="32"/>
          <w:highlight w:val="none"/>
          <w:lang w:val="en-US"/>
        </w:rPr>
        <w:t>资金到位135.00万元</w:t>
      </w:r>
      <w:r>
        <w:rPr>
          <w:rFonts w:hint="eastAsia"/>
          <w:color w:val="auto"/>
          <w:sz w:val="32"/>
          <w:highlight w:val="none"/>
          <w:lang w:val="en-US" w:eastAsia="zh-CN"/>
        </w:rPr>
        <w:t>，</w:t>
      </w:r>
      <w:r>
        <w:rPr>
          <w:rFonts w:hint="eastAsia"/>
          <w:color w:val="auto"/>
          <w:sz w:val="32"/>
          <w:highlight w:val="none"/>
          <w:lang w:val="en-US"/>
        </w:rPr>
        <w:t>实际支出106.69万元（其中：登记注册、工商行政审批20万元；食品药品专项经费40万元；市场管理专项经费10.69万元；特种设备、质量安全专项经费20万元；知识产权专项经费16万元）</w:t>
      </w:r>
      <w:r>
        <w:rPr>
          <w:rFonts w:hint="eastAsia"/>
          <w:color w:val="auto"/>
          <w:sz w:val="32"/>
          <w:highlight w:val="none"/>
          <w:lang w:val="en-US" w:eastAsia="zh-CN"/>
        </w:rPr>
        <w:t>，</w:t>
      </w:r>
      <w:r>
        <w:rPr>
          <w:rFonts w:hint="eastAsia"/>
          <w:color w:val="auto"/>
          <w:sz w:val="32"/>
          <w:highlight w:val="none"/>
          <w:lang w:val="en-US"/>
        </w:rPr>
        <w:t>预算执行率79.03%。预算执行率偏低的主要原因：知识产权专项经费预算执行率仅40%</w:t>
      </w:r>
      <w:r>
        <w:rPr>
          <w:rFonts w:hint="eastAsia"/>
          <w:color w:val="auto"/>
          <w:sz w:val="32"/>
          <w:highlight w:val="none"/>
          <w:lang w:val="en-US" w:eastAsia="zh-CN"/>
        </w:rPr>
        <w:t>。</w:t>
      </w:r>
    </w:p>
    <w:p>
      <w:pPr>
        <w:pageBreakBefore w:val="0"/>
        <w:kinsoku/>
        <w:wordWrap/>
        <w:overflowPunct/>
        <w:topLinePunct w:val="0"/>
        <w:bidi w:val="0"/>
        <w:spacing w:line="560" w:lineRule="exact"/>
        <w:ind w:left="0" w:firstLine="640" w:firstLineChars="200"/>
        <w:rPr>
          <w:rFonts w:hint="eastAsia" w:ascii="仿宋" w:hAnsi="仿宋" w:cs="仿宋"/>
          <w:color w:val="auto"/>
          <w:sz w:val="32"/>
          <w:szCs w:val="32"/>
          <w:highlight w:val="none"/>
          <w:lang w:val="en-US" w:eastAsia="zh-CN"/>
        </w:rPr>
      </w:pPr>
      <w:r>
        <w:rPr>
          <w:rFonts w:hint="eastAsia" w:ascii="仿宋" w:hAnsi="仿宋" w:cs="仿宋"/>
          <w:bCs/>
          <w:color w:val="auto"/>
          <w:sz w:val="32"/>
          <w:szCs w:val="32"/>
          <w:highlight w:val="none"/>
        </w:rPr>
        <w:t>（3）</w:t>
      </w:r>
      <w:r>
        <w:rPr>
          <w:rFonts w:hint="eastAsia" w:ascii="仿宋" w:hAnsi="仿宋" w:cs="仿宋"/>
          <w:color w:val="auto"/>
          <w:sz w:val="32"/>
          <w:szCs w:val="32"/>
          <w:highlight w:val="none"/>
          <w:lang w:val="en-US" w:eastAsia="zh-CN"/>
        </w:rPr>
        <w:t>上级补助资金闲置沉淀</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cs="仿宋"/>
          <w:bCs/>
          <w:color w:val="auto"/>
          <w:sz w:val="32"/>
          <w:szCs w:val="32"/>
          <w:highlight w:val="none"/>
          <w:lang w:eastAsia="zh-CN"/>
        </w:rPr>
        <w:t>下陆区市场监督管理局</w:t>
      </w:r>
      <w:r>
        <w:rPr>
          <w:rFonts w:hint="eastAsia" w:ascii="仿宋" w:hAnsi="仿宋" w:cs="仿宋"/>
          <w:color w:val="auto"/>
          <w:sz w:val="32"/>
          <w:szCs w:val="32"/>
          <w:highlight w:val="none"/>
          <w:lang w:val="en-US" w:eastAsia="zh-CN"/>
        </w:rPr>
        <w:t>收到</w:t>
      </w:r>
      <w:r>
        <w:rPr>
          <w:rFonts w:hint="eastAsia"/>
          <w:color w:val="auto"/>
          <w:sz w:val="32"/>
          <w:highlight w:val="none"/>
          <w:lang w:val="en-US"/>
        </w:rPr>
        <w:t>上年结余结转</w:t>
      </w:r>
      <w:r>
        <w:rPr>
          <w:rFonts w:hint="eastAsia"/>
          <w:color w:val="auto"/>
          <w:sz w:val="32"/>
          <w:highlight w:val="none"/>
          <w:lang w:val="en-US" w:eastAsia="zh-CN"/>
        </w:rPr>
        <w:t>6.00万元（2021年药品监管补助资金）</w:t>
      </w:r>
      <w:r>
        <w:rPr>
          <w:rFonts w:hint="eastAsia"/>
          <w:color w:val="auto"/>
          <w:sz w:val="32"/>
          <w:highlight w:val="none"/>
          <w:lang w:val="en-US"/>
        </w:rPr>
        <w:t>和本年上级补助</w:t>
      </w:r>
      <w:r>
        <w:rPr>
          <w:rFonts w:hint="eastAsia"/>
          <w:color w:val="auto"/>
          <w:sz w:val="32"/>
          <w:highlight w:val="none"/>
          <w:lang w:val="en-US" w:eastAsia="zh-CN"/>
        </w:rPr>
        <w:t>16.00万元（其中：中央补助资金13万元，省级补助资金3万元）</w:t>
      </w:r>
      <w:r>
        <w:rPr>
          <w:rFonts w:hint="eastAsia" w:ascii="仿宋" w:hAnsi="仿宋" w:eastAsia="仿宋" w:cs="仿宋"/>
          <w:color w:val="auto"/>
          <w:sz w:val="32"/>
          <w:szCs w:val="32"/>
          <w:highlight w:val="none"/>
          <w:lang w:val="en-US" w:eastAsia="zh-CN"/>
        </w:rPr>
        <w:t>，截至2022年12月31日，</w:t>
      </w:r>
      <w:r>
        <w:rPr>
          <w:rFonts w:hint="eastAsia" w:ascii="仿宋" w:hAnsi="仿宋" w:cs="仿宋"/>
          <w:color w:val="auto"/>
          <w:sz w:val="32"/>
          <w:szCs w:val="32"/>
          <w:highlight w:val="none"/>
          <w:lang w:val="en-US" w:eastAsia="zh-CN"/>
        </w:rPr>
        <w:t>上述</w:t>
      </w:r>
      <w:r>
        <w:rPr>
          <w:rFonts w:hint="eastAsia" w:ascii="仿宋" w:hAnsi="仿宋" w:eastAsia="仿宋" w:cs="仿宋"/>
          <w:color w:val="auto"/>
          <w:sz w:val="32"/>
          <w:szCs w:val="32"/>
          <w:highlight w:val="none"/>
          <w:lang w:val="en-US" w:eastAsia="zh-CN"/>
        </w:rPr>
        <w:t>指标实际剩余</w:t>
      </w:r>
      <w:r>
        <w:rPr>
          <w:rFonts w:hint="eastAsia" w:ascii="仿宋" w:hAnsi="仿宋" w:cs="仿宋"/>
          <w:color w:val="auto"/>
          <w:sz w:val="32"/>
          <w:szCs w:val="32"/>
          <w:highlight w:val="none"/>
          <w:lang w:val="en-US" w:eastAsia="zh-CN"/>
        </w:rPr>
        <w:t>22.00</w:t>
      </w:r>
      <w:r>
        <w:rPr>
          <w:rFonts w:hint="eastAsia" w:ascii="仿宋" w:hAnsi="仿宋" w:eastAsia="仿宋" w:cs="仿宋"/>
          <w:color w:val="auto"/>
          <w:sz w:val="32"/>
          <w:szCs w:val="32"/>
          <w:highlight w:val="none"/>
          <w:lang w:val="en-US" w:eastAsia="zh-CN"/>
        </w:rPr>
        <w:t>万元</w:t>
      </w:r>
      <w:r>
        <w:rPr>
          <w:rFonts w:hint="eastAsia" w:ascii="仿宋" w:hAnsi="仿宋" w:cs="仿宋"/>
          <w:color w:val="auto"/>
          <w:sz w:val="32"/>
          <w:szCs w:val="32"/>
          <w:highlight w:val="none"/>
          <w:lang w:val="en-US" w:eastAsia="zh-CN"/>
        </w:rPr>
        <w:t>（见下表）</w:t>
      </w:r>
      <w:r>
        <w:rPr>
          <w:rFonts w:hint="eastAsia" w:ascii="仿宋" w:hAnsi="仿宋" w:eastAsia="仿宋" w:cs="仿宋"/>
          <w:color w:val="auto"/>
          <w:sz w:val="32"/>
          <w:szCs w:val="32"/>
          <w:highlight w:val="none"/>
          <w:lang w:val="en-US" w:eastAsia="zh-CN"/>
        </w:rPr>
        <w:t>，</w:t>
      </w:r>
      <w:r>
        <w:rPr>
          <w:rFonts w:hint="eastAsia" w:ascii="仿宋" w:hAnsi="仿宋" w:cs="仿宋"/>
          <w:color w:val="auto"/>
          <w:sz w:val="32"/>
          <w:szCs w:val="32"/>
          <w:highlight w:val="none"/>
          <w:lang w:val="en-US" w:eastAsia="zh-CN"/>
        </w:rPr>
        <w:t>形</w:t>
      </w:r>
      <w:r>
        <w:rPr>
          <w:rFonts w:hint="eastAsia" w:ascii="仿宋" w:hAnsi="仿宋" w:eastAsia="仿宋" w:cs="仿宋"/>
          <w:color w:val="auto"/>
          <w:sz w:val="32"/>
          <w:szCs w:val="32"/>
          <w:highlight w:val="none"/>
          <w:lang w:val="en-US" w:eastAsia="zh-CN"/>
        </w:rPr>
        <w:t>成上级补助资金闲置沉淀。</w:t>
      </w:r>
    </w:p>
    <w:tbl>
      <w:tblPr>
        <w:tblStyle w:val="2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36"/>
        <w:gridCol w:w="1357"/>
        <w:gridCol w:w="1261"/>
        <w:gridCol w:w="1358"/>
        <w:gridCol w:w="3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预算项目</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指标下达</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已付金额</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剩余指标</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指标用途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2022年市场监督管理专项补助经费</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30000 </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0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30000 </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省财政厅关于下达2022年市场监督管理专项补助经费的通知（黄财行发[2022]156号）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2022年药品监管补助资金</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130000 </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0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130000 </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关于提前下达2022年药品监管补助资金的通知(黄财行发[2022]44号)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上级转移支付资金</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60000 </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0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60000 </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2021年药品监管补助资金(黄财行发[2021]95号)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合  计</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220000 </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0 </w:t>
            </w:r>
          </w:p>
        </w:tc>
        <w:tc>
          <w:tcPr>
            <w:tcW w:w="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 xml:space="preserve">220000 </w:t>
            </w:r>
          </w:p>
        </w:tc>
        <w:tc>
          <w:tcPr>
            <w:tcW w:w="17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18"/>
                <w:szCs w:val="18"/>
                <w:highlight w:val="none"/>
                <w:u w:val="none"/>
              </w:rPr>
            </w:pPr>
          </w:p>
        </w:tc>
      </w:tr>
    </w:tbl>
    <w:p>
      <w:pPr>
        <w:pStyle w:val="5"/>
        <w:keepNext/>
        <w:keepLines/>
        <w:pageBreakBefore w:val="0"/>
        <w:widowControl w:val="0"/>
        <w:kinsoku/>
        <w:wordWrap/>
        <w:overflowPunct/>
        <w:topLinePunct w:val="0"/>
        <w:autoSpaceDE/>
        <w:autoSpaceDN/>
        <w:bidi w:val="0"/>
        <w:adjustRightInd/>
        <w:snapToGrid/>
        <w:spacing w:before="157" w:beforeLines="50" w:after="0" w:line="560" w:lineRule="exact"/>
        <w:ind w:left="0" w:firstLine="640" w:firstLineChars="200"/>
        <w:textAlignment w:val="auto"/>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（四）结果应用建议</w:t>
      </w:r>
      <w:bookmarkEnd w:id="14"/>
      <w:bookmarkEnd w:id="15"/>
      <w:bookmarkEnd w:id="16"/>
      <w:bookmarkEnd w:id="17"/>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firstLine="640" w:firstLineChars="200"/>
        <w:contextualSpacing/>
        <w:textAlignment w:val="auto"/>
        <w:rPr>
          <w:rFonts w:hint="default" w:ascii="仿宋" w:hAnsi="仿宋" w:cs="仿宋"/>
          <w:b w:val="0"/>
          <w:bCs w:val="0"/>
          <w:color w:val="auto"/>
          <w:sz w:val="32"/>
          <w:szCs w:val="32"/>
          <w:highlight w:val="none"/>
          <w:lang w:val="en-US" w:eastAsia="zh-CN"/>
        </w:rPr>
      </w:pPr>
      <w:r>
        <w:rPr>
          <w:rFonts w:hint="eastAsia" w:ascii="仿宋" w:hAnsi="仿宋" w:cs="仿宋"/>
          <w:b w:val="0"/>
          <w:bCs w:val="0"/>
          <w:color w:val="auto"/>
          <w:sz w:val="32"/>
          <w:szCs w:val="32"/>
          <w:highlight w:val="none"/>
          <w:lang w:val="en-US" w:eastAsia="zh-CN"/>
        </w:rPr>
        <w:t>（1）</w:t>
      </w:r>
      <w:r>
        <w:rPr>
          <w:rFonts w:hint="eastAsia" w:ascii="仿宋" w:hAnsi="仿宋" w:cs="仿宋"/>
          <w:bCs/>
          <w:color w:val="auto"/>
          <w:sz w:val="32"/>
          <w:szCs w:val="32"/>
          <w:highlight w:val="none"/>
          <w:lang w:val="en-US" w:eastAsia="zh-CN"/>
        </w:rPr>
        <w:t>预算单位（</w:t>
      </w:r>
      <w:r>
        <w:rPr>
          <w:rFonts w:hint="eastAsia" w:ascii="仿宋" w:hAnsi="仿宋" w:cs="仿宋"/>
          <w:bCs/>
          <w:color w:val="auto"/>
          <w:sz w:val="32"/>
          <w:szCs w:val="32"/>
          <w:highlight w:val="none"/>
          <w:lang w:eastAsia="zh-CN"/>
        </w:rPr>
        <w:t>黄石市下陆区市场监督管理局）</w:t>
      </w:r>
      <w:r>
        <w:rPr>
          <w:rFonts w:hint="eastAsia" w:ascii="仿宋" w:hAnsi="仿宋" w:cs="仿宋"/>
          <w:bCs/>
          <w:color w:val="auto"/>
          <w:sz w:val="32"/>
          <w:szCs w:val="32"/>
          <w:highlight w:val="none"/>
          <w:lang w:val="en-US" w:eastAsia="zh-CN"/>
        </w:rPr>
        <w:t>今后</w:t>
      </w:r>
      <w:r>
        <w:rPr>
          <w:rFonts w:hint="eastAsia" w:ascii="仿宋" w:hAnsi="仿宋" w:cs="仿宋"/>
          <w:b w:val="0"/>
          <w:bCs w:val="0"/>
          <w:color w:val="auto"/>
          <w:sz w:val="32"/>
          <w:szCs w:val="32"/>
          <w:highlight w:val="none"/>
          <w:lang w:val="en-US" w:eastAsia="zh-CN"/>
        </w:rPr>
        <w:t>在项目绩效指标管理上应认真编制、复核，建立事前绩效评估机制，作为申请预算的必要条件。</w:t>
      </w:r>
      <w:r>
        <w:rPr>
          <w:rFonts w:hint="eastAsia" w:ascii="仿宋" w:hAnsi="仿宋" w:cs="仿宋"/>
          <w:bCs/>
          <w:color w:val="auto"/>
          <w:sz w:val="32"/>
          <w:szCs w:val="32"/>
          <w:highlight w:val="none"/>
          <w:lang w:eastAsia="zh-CN"/>
        </w:rPr>
        <w:t>区</w:t>
      </w:r>
      <w:r>
        <w:rPr>
          <w:rFonts w:hint="eastAsia" w:ascii="仿宋" w:hAnsi="仿宋" w:cs="仿宋"/>
          <w:b w:val="0"/>
          <w:bCs w:val="0"/>
          <w:color w:val="auto"/>
          <w:sz w:val="32"/>
          <w:szCs w:val="32"/>
          <w:highlight w:val="none"/>
          <w:lang w:val="en-US" w:eastAsia="zh-CN"/>
        </w:rPr>
        <w:t>财政局应加强项目预算和绩效目标审核，强化绩效目标管理，将绩效目标与预算批复同步下达。</w:t>
      </w:r>
    </w:p>
    <w:p>
      <w:pPr>
        <w:pageBreakBefore w:val="0"/>
        <w:shd w:val="clear" w:color="auto" w:fill="FFFFFF"/>
        <w:kinsoku/>
        <w:wordWrap/>
        <w:overflowPunct/>
        <w:topLinePunct w:val="0"/>
        <w:bidi w:val="0"/>
        <w:spacing w:line="560" w:lineRule="exact"/>
        <w:ind w:left="0" w:firstLine="640" w:firstLineChars="200"/>
        <w:contextualSpacing/>
        <w:rPr>
          <w:rFonts w:hint="eastAsia"/>
          <w:bCs/>
          <w:color w:val="auto"/>
          <w:sz w:val="32"/>
          <w:highlight w:val="none"/>
          <w:lang w:val="en-US" w:eastAsia="zh-CN"/>
        </w:rPr>
      </w:pPr>
      <w:r>
        <w:rPr>
          <w:rFonts w:hint="eastAsia" w:ascii="仿宋" w:hAnsi="仿宋" w:cs="仿宋"/>
          <w:bCs/>
          <w:color w:val="auto"/>
          <w:sz w:val="32"/>
          <w:szCs w:val="32"/>
          <w:highlight w:val="none"/>
        </w:rPr>
        <w:t>（2）</w:t>
      </w:r>
      <w:r>
        <w:rPr>
          <w:rFonts w:hint="eastAsia" w:ascii="仿宋" w:hAnsi="仿宋" w:cs="仿宋"/>
          <w:bCs/>
          <w:color w:val="auto"/>
          <w:sz w:val="32"/>
          <w:szCs w:val="32"/>
          <w:highlight w:val="none"/>
          <w:lang w:eastAsia="zh-CN"/>
        </w:rPr>
        <w:t>黄石市下陆区财政局</w:t>
      </w:r>
      <w:r>
        <w:rPr>
          <w:rFonts w:hint="eastAsia" w:ascii="仿宋" w:hAnsi="仿宋" w:cs="仿宋"/>
          <w:b w:val="0"/>
          <w:bCs w:val="0"/>
          <w:color w:val="auto"/>
          <w:sz w:val="32"/>
          <w:szCs w:val="32"/>
          <w:highlight w:val="none"/>
          <w:lang w:val="en-US" w:eastAsia="zh-CN"/>
        </w:rPr>
        <w:t>应加强项目预算审核，依据《下陆区区级财政结转结余资金管理办法》（黄下财发〔2022〕8号 ）落实财政结转结余资金使用与年度预算统筹结合机制，适当核减</w:t>
      </w:r>
      <w:r>
        <w:rPr>
          <w:rFonts w:hint="eastAsia" w:ascii="仿宋" w:hAnsi="仿宋" w:cs="仿宋"/>
          <w:bCs/>
          <w:color w:val="auto"/>
          <w:sz w:val="32"/>
          <w:szCs w:val="32"/>
          <w:highlight w:val="none"/>
          <w:lang w:eastAsia="zh-CN"/>
        </w:rPr>
        <w:t>区</w:t>
      </w:r>
      <w:r>
        <w:rPr>
          <w:rFonts w:hint="eastAsia" w:ascii="仿宋" w:hAnsi="仿宋" w:cs="仿宋"/>
          <w:bCs/>
          <w:color w:val="auto"/>
          <w:sz w:val="32"/>
          <w:szCs w:val="32"/>
          <w:highlight w:val="none"/>
          <w:lang w:val="en-US" w:eastAsia="zh-CN"/>
        </w:rPr>
        <w:t>市场监督管理局</w:t>
      </w:r>
      <w:r>
        <w:rPr>
          <w:rFonts w:hint="eastAsia" w:ascii="仿宋" w:hAnsi="仿宋" w:cs="仿宋"/>
          <w:b w:val="0"/>
          <w:bCs w:val="0"/>
          <w:color w:val="auto"/>
          <w:sz w:val="32"/>
          <w:szCs w:val="32"/>
          <w:highlight w:val="none"/>
          <w:lang w:val="en-US" w:eastAsia="zh-CN"/>
        </w:rPr>
        <w:t>下年度</w:t>
      </w:r>
      <w:r>
        <w:rPr>
          <w:rFonts w:hint="eastAsia"/>
          <w:color w:val="auto"/>
          <w:sz w:val="32"/>
          <w:highlight w:val="none"/>
          <w:lang w:val="en-US"/>
        </w:rPr>
        <w:t>知识产权</w:t>
      </w:r>
      <w:r>
        <w:rPr>
          <w:rFonts w:hint="eastAsia" w:ascii="仿宋" w:hAnsi="仿宋" w:cs="仿宋"/>
          <w:b w:val="0"/>
          <w:bCs w:val="0"/>
          <w:color w:val="auto"/>
          <w:sz w:val="32"/>
          <w:szCs w:val="32"/>
          <w:highlight w:val="none"/>
          <w:lang w:val="en-US" w:eastAsia="zh-CN"/>
        </w:rPr>
        <w:t>专项的支出规模</w:t>
      </w:r>
      <w:r>
        <w:rPr>
          <w:rFonts w:hint="eastAsia"/>
          <w:bCs/>
          <w:color w:val="auto"/>
          <w:sz w:val="32"/>
          <w:highlight w:val="none"/>
          <w:lang w:val="en-US" w:eastAsia="zh-CN"/>
        </w:rPr>
        <w:t>。</w:t>
      </w:r>
    </w:p>
    <w:p>
      <w:pPr>
        <w:pageBreakBefore w:val="0"/>
        <w:shd w:val="clear" w:color="auto" w:fill="FFFFFF"/>
        <w:kinsoku/>
        <w:wordWrap/>
        <w:overflowPunct/>
        <w:topLinePunct w:val="0"/>
        <w:bidi w:val="0"/>
        <w:spacing w:line="560" w:lineRule="exact"/>
        <w:ind w:left="0" w:firstLine="640" w:firstLineChars="200"/>
        <w:contextualSpacing/>
        <w:rPr>
          <w:rFonts w:hint="eastAsia" w:ascii="仿宋" w:hAnsi="仿宋" w:cs="仿宋"/>
          <w:b w:val="0"/>
          <w:bCs w:val="0"/>
          <w:color w:val="auto"/>
          <w:sz w:val="32"/>
          <w:szCs w:val="32"/>
          <w:highlight w:val="none"/>
          <w:lang w:val="en-US" w:eastAsia="zh-CN"/>
        </w:rPr>
      </w:pPr>
      <w:r>
        <w:rPr>
          <w:rFonts w:hint="eastAsia" w:ascii="仿宋" w:hAnsi="仿宋" w:cs="仿宋"/>
          <w:bCs/>
          <w:color w:val="auto"/>
          <w:sz w:val="32"/>
          <w:szCs w:val="32"/>
          <w:highlight w:val="none"/>
        </w:rPr>
        <w:t>（3）</w:t>
      </w:r>
      <w:r>
        <w:rPr>
          <w:rFonts w:hint="eastAsia" w:ascii="仿宋" w:hAnsi="仿宋" w:cs="仿宋"/>
          <w:b w:val="0"/>
          <w:bCs w:val="0"/>
          <w:color w:val="auto"/>
          <w:sz w:val="32"/>
          <w:szCs w:val="32"/>
          <w:highlight w:val="none"/>
          <w:lang w:val="en-US" w:eastAsia="zh-CN"/>
        </w:rPr>
        <w:t>针对区</w:t>
      </w:r>
      <w:r>
        <w:rPr>
          <w:rFonts w:hint="eastAsia" w:ascii="仿宋" w:hAnsi="仿宋" w:cs="仿宋"/>
          <w:bCs/>
          <w:color w:val="auto"/>
          <w:sz w:val="32"/>
          <w:szCs w:val="32"/>
          <w:highlight w:val="none"/>
          <w:lang w:val="en-US" w:eastAsia="zh-CN"/>
        </w:rPr>
        <w:t>市场监督管理局</w:t>
      </w:r>
      <w:r>
        <w:rPr>
          <w:rFonts w:hint="eastAsia" w:ascii="仿宋" w:hAnsi="仿宋" w:cs="仿宋"/>
          <w:b w:val="0"/>
          <w:bCs w:val="0"/>
          <w:color w:val="auto"/>
          <w:sz w:val="32"/>
          <w:szCs w:val="32"/>
          <w:highlight w:val="none"/>
          <w:lang w:val="en-US" w:eastAsia="zh-CN"/>
        </w:rPr>
        <w:t>连续两年未用完的结转资金，</w:t>
      </w:r>
      <w:r>
        <w:rPr>
          <w:rFonts w:hint="eastAsia" w:ascii="仿宋" w:hAnsi="仿宋" w:cs="仿宋"/>
          <w:bCs/>
          <w:color w:val="auto"/>
          <w:sz w:val="32"/>
          <w:szCs w:val="32"/>
          <w:highlight w:val="none"/>
          <w:lang w:eastAsia="zh-CN"/>
        </w:rPr>
        <w:t>黄石市</w:t>
      </w:r>
      <w:r>
        <w:rPr>
          <w:rFonts w:hint="eastAsia" w:ascii="仿宋" w:hAnsi="仿宋" w:cs="仿宋"/>
          <w:b w:val="0"/>
          <w:bCs w:val="0"/>
          <w:color w:val="auto"/>
          <w:sz w:val="32"/>
          <w:szCs w:val="32"/>
          <w:highlight w:val="none"/>
          <w:lang w:val="en-US" w:eastAsia="zh-CN"/>
        </w:rPr>
        <w:t>下陆</w:t>
      </w:r>
      <w:r>
        <w:rPr>
          <w:rFonts w:hint="eastAsia" w:ascii="仿宋" w:hAnsi="仿宋" w:cs="仿宋"/>
          <w:bCs/>
          <w:color w:val="auto"/>
          <w:sz w:val="32"/>
          <w:szCs w:val="32"/>
          <w:highlight w:val="none"/>
          <w:lang w:eastAsia="zh-CN"/>
        </w:rPr>
        <w:t>区财政局应根据</w:t>
      </w:r>
      <w:r>
        <w:rPr>
          <w:rFonts w:hint="eastAsia" w:ascii="仿宋" w:hAnsi="仿宋" w:cs="仿宋"/>
          <w:b w:val="0"/>
          <w:bCs w:val="0"/>
          <w:color w:val="auto"/>
          <w:sz w:val="32"/>
          <w:szCs w:val="32"/>
          <w:highlight w:val="none"/>
          <w:lang w:val="en-US" w:eastAsia="zh-CN"/>
        </w:rPr>
        <w:t>《下陆区区级财政结转结余资金管理办法》（黄下财发〔2022〕8号 ）予以收回，用于补充预算稳定调节基金。</w:t>
      </w:r>
    </w:p>
    <w:p>
      <w:pPr>
        <w:pageBreakBefore w:val="0"/>
        <w:kinsoku/>
        <w:wordWrap/>
        <w:overflowPunct/>
        <w:topLinePunct w:val="0"/>
        <w:autoSpaceDE w:val="0"/>
        <w:autoSpaceDN w:val="0"/>
        <w:bidi w:val="0"/>
        <w:adjustRightInd w:val="0"/>
        <w:spacing w:line="560" w:lineRule="exact"/>
        <w:ind w:left="0" w:firstLine="640" w:firstLineChars="200"/>
        <w:rPr>
          <w:rFonts w:hint="default" w:ascii="仿宋" w:hAnsi="仿宋" w:eastAsia="仿宋"/>
          <w:color w:val="auto"/>
          <w:sz w:val="32"/>
          <w:szCs w:val="32"/>
          <w:highlight w:val="none"/>
          <w:lang w:val="en-US"/>
        </w:rPr>
      </w:pPr>
    </w:p>
    <w:p>
      <w:pPr>
        <w:pageBreakBefore w:val="0"/>
        <w:kinsoku/>
        <w:wordWrap/>
        <w:overflowPunct/>
        <w:topLinePunct w:val="0"/>
        <w:bidi w:val="0"/>
        <w:spacing w:line="560" w:lineRule="exact"/>
        <w:ind w:left="0"/>
        <w:rPr>
          <w:rFonts w:hint="eastAsia" w:ascii="黑体" w:hAnsi="黑体" w:cs="黑体"/>
          <w:color w:val="auto"/>
          <w:sz w:val="32"/>
          <w:szCs w:val="32"/>
          <w:highlight w:val="none"/>
        </w:rPr>
      </w:pPr>
      <w:bookmarkStart w:id="18" w:name="_Toc45724245"/>
      <w:bookmarkStart w:id="19" w:name="_Toc17503"/>
      <w:bookmarkStart w:id="20" w:name="_Toc22991"/>
      <w:bookmarkStart w:id="21" w:name="_Toc30259"/>
    </w:p>
    <w:p>
      <w:pPr>
        <w:pageBreakBefore w:val="0"/>
        <w:kinsoku/>
        <w:wordWrap/>
        <w:overflowPunct/>
        <w:topLinePunct w:val="0"/>
        <w:bidi w:val="0"/>
        <w:spacing w:line="560" w:lineRule="exact"/>
        <w:ind w:left="0"/>
        <w:rPr>
          <w:rFonts w:hint="eastAsia" w:ascii="黑体" w:hAnsi="黑体" w:cs="黑体"/>
          <w:color w:val="auto"/>
          <w:sz w:val="32"/>
          <w:szCs w:val="32"/>
          <w:highlight w:val="none"/>
        </w:rPr>
      </w:pPr>
      <w:r>
        <w:rPr>
          <w:rFonts w:hint="eastAsia" w:ascii="黑体" w:hAnsi="黑体" w:cs="黑体"/>
          <w:color w:val="auto"/>
          <w:sz w:val="32"/>
          <w:szCs w:val="32"/>
          <w:highlight w:val="none"/>
        </w:rPr>
        <w:br w:type="page"/>
      </w:r>
    </w:p>
    <w:p>
      <w:pPr>
        <w:pStyle w:val="4"/>
        <w:pageBreakBefore w:val="0"/>
        <w:kinsoku/>
        <w:wordWrap/>
        <w:overflowPunct/>
        <w:topLinePunct w:val="0"/>
        <w:bidi w:val="0"/>
        <w:spacing w:before="0" w:after="0" w:line="560" w:lineRule="exact"/>
        <w:ind w:left="0" w:firstLine="643" w:firstLineChars="200"/>
        <w:jc w:val="left"/>
        <w:rPr>
          <w:rFonts w:ascii="仿宋" w:hAnsi="仿宋" w:eastAsia="仿宋" w:cs="仿宋"/>
          <w:color w:val="auto"/>
          <w:sz w:val="32"/>
          <w:szCs w:val="32"/>
          <w:highlight w:val="none"/>
        </w:rPr>
      </w:pPr>
      <w:r>
        <w:rPr>
          <w:rFonts w:hint="eastAsia" w:ascii="黑体" w:hAnsi="黑体" w:cs="黑体"/>
          <w:color w:val="auto"/>
          <w:sz w:val="32"/>
          <w:szCs w:val="32"/>
          <w:highlight w:val="none"/>
        </w:rPr>
        <w:t>二、佐证材料</w:t>
      </w:r>
      <w:bookmarkEnd w:id="18"/>
      <w:bookmarkEnd w:id="19"/>
      <w:bookmarkEnd w:id="20"/>
      <w:bookmarkEnd w:id="21"/>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hint="eastAsia" w:ascii="楷体" w:hAnsi="楷体" w:eastAsia="楷体" w:cs="楷体"/>
          <w:color w:val="auto"/>
          <w:sz w:val="32"/>
          <w:szCs w:val="32"/>
          <w:highlight w:val="none"/>
        </w:rPr>
      </w:pPr>
      <w:bookmarkStart w:id="22" w:name="_Toc7796"/>
      <w:bookmarkStart w:id="23" w:name="_Toc32741"/>
      <w:bookmarkStart w:id="24" w:name="_Toc30286"/>
      <w:r>
        <w:rPr>
          <w:rFonts w:hint="eastAsia" w:ascii="楷体" w:hAnsi="楷体" w:eastAsia="楷体" w:cs="楷体"/>
          <w:color w:val="auto"/>
          <w:sz w:val="32"/>
          <w:szCs w:val="32"/>
          <w:highlight w:val="none"/>
        </w:rPr>
        <w:t>（一）基本情况</w:t>
      </w:r>
      <w:bookmarkEnd w:id="22"/>
      <w:bookmarkEnd w:id="23"/>
      <w:bookmarkEnd w:id="24"/>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25" w:name="_Toc29417"/>
      <w:bookmarkStart w:id="26" w:name="_Toc14142"/>
      <w:r>
        <w:rPr>
          <w:rFonts w:hint="eastAsia" w:ascii="仿宋" w:hAnsi="仿宋" w:cs="仿宋"/>
          <w:b/>
          <w:bCs/>
          <w:color w:val="auto"/>
          <w:sz w:val="32"/>
          <w:szCs w:val="32"/>
          <w:highlight w:val="none"/>
        </w:rPr>
        <w:t>1、项目立项目的</w:t>
      </w:r>
      <w:bookmarkEnd w:id="25"/>
      <w:bookmarkEnd w:id="26"/>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color w:val="auto"/>
          <w:sz w:val="32"/>
          <w:szCs w:val="32"/>
          <w:highlight w:val="none"/>
        </w:rPr>
      </w:pPr>
      <w:bookmarkStart w:id="27" w:name="_Toc27270"/>
      <w:bookmarkStart w:id="28" w:name="_Toc32530"/>
      <w:r>
        <w:rPr>
          <w:rFonts w:hint="eastAsia" w:ascii="仿宋" w:hAnsi="仿宋" w:cs="仿宋"/>
          <w:color w:val="auto"/>
          <w:sz w:val="32"/>
          <w:szCs w:val="32"/>
          <w:highlight w:val="none"/>
          <w:lang w:eastAsia="zh-CN"/>
        </w:rPr>
        <w:t>《</w:t>
      </w:r>
      <w:r>
        <w:rPr>
          <w:rFonts w:hint="eastAsia" w:ascii="仿宋" w:hAnsi="仿宋" w:eastAsia="仿宋" w:cs="仿宋"/>
          <w:color w:val="auto"/>
          <w:kern w:val="0"/>
          <w:sz w:val="32"/>
          <w:szCs w:val="32"/>
          <w:highlight w:val="none"/>
          <w:lang w:val="en-US" w:eastAsia="zh-CN" w:bidi="ar"/>
        </w:rPr>
        <w:t>黄石市国民经济和社会发展第十四个五年</w:t>
      </w:r>
      <w:r>
        <w:rPr>
          <w:rFonts w:hint="default" w:ascii="仿宋" w:hAnsi="仿宋" w:eastAsia="仿宋" w:cs="仿宋"/>
          <w:color w:val="auto"/>
          <w:kern w:val="0"/>
          <w:sz w:val="32"/>
          <w:szCs w:val="32"/>
          <w:highlight w:val="none"/>
          <w:lang w:val="en-US" w:eastAsia="zh-CN" w:bidi="ar"/>
        </w:rPr>
        <w:t>规划和二</w:t>
      </w:r>
      <w:r>
        <w:rPr>
          <w:rFonts w:hint="eastAsia" w:ascii="仿宋" w:hAnsi="仿宋" w:eastAsia="仿宋" w:cs="仿宋"/>
          <w:color w:val="auto"/>
          <w:kern w:val="0"/>
          <w:sz w:val="32"/>
          <w:szCs w:val="32"/>
          <w:highlight w:val="none"/>
          <w:lang w:val="en-US" w:eastAsia="zh-CN" w:bidi="ar"/>
        </w:rPr>
        <w:t>〇</w:t>
      </w:r>
      <w:r>
        <w:rPr>
          <w:rFonts w:hint="default" w:ascii="仿宋" w:hAnsi="仿宋" w:eastAsia="仿宋" w:cs="仿宋"/>
          <w:color w:val="auto"/>
          <w:kern w:val="0"/>
          <w:sz w:val="32"/>
          <w:szCs w:val="32"/>
          <w:highlight w:val="none"/>
          <w:lang w:val="en-US" w:eastAsia="zh-CN" w:bidi="ar"/>
        </w:rPr>
        <w:t>三五年远景目标纲要</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提出：</w:t>
      </w:r>
      <w:r>
        <w:rPr>
          <w:rFonts w:ascii="仿宋" w:hAnsi="仿宋" w:eastAsia="仿宋" w:cs="仿宋"/>
          <w:color w:val="auto"/>
          <w:kern w:val="0"/>
          <w:sz w:val="32"/>
          <w:szCs w:val="32"/>
          <w:highlight w:val="none"/>
          <w:lang w:val="en-US" w:eastAsia="zh-CN" w:bidi="ar"/>
        </w:rPr>
        <w:t>充分发挥市场在资源配置中的决定性作用，推动有效市场和</w:t>
      </w:r>
      <w:r>
        <w:rPr>
          <w:rFonts w:hint="eastAsia" w:ascii="仿宋" w:hAnsi="仿宋" w:eastAsia="仿宋" w:cs="仿宋"/>
          <w:color w:val="auto"/>
          <w:kern w:val="0"/>
          <w:sz w:val="32"/>
          <w:szCs w:val="32"/>
          <w:highlight w:val="none"/>
          <w:lang w:val="en-US" w:eastAsia="zh-CN" w:bidi="ar"/>
        </w:rPr>
        <w:t>有为政府更好结合，构建市场机制有效、微观主体有活力、宏观调控有度的经济体制。</w:t>
      </w:r>
      <w:r>
        <w:rPr>
          <w:rFonts w:ascii="仿宋" w:hAnsi="仿宋" w:eastAsia="仿宋" w:cs="仿宋"/>
          <w:color w:val="auto"/>
          <w:kern w:val="0"/>
          <w:sz w:val="32"/>
          <w:szCs w:val="32"/>
          <w:highlight w:val="none"/>
          <w:lang w:val="en-US" w:eastAsia="zh-CN" w:bidi="ar"/>
        </w:rPr>
        <w:t>深入推进土地、劳动力、资本、技术、数据、价格等要素市</w:t>
      </w:r>
      <w:r>
        <w:rPr>
          <w:rFonts w:hint="eastAsia" w:ascii="仿宋" w:hAnsi="仿宋" w:eastAsia="仿宋" w:cs="仿宋"/>
          <w:color w:val="auto"/>
          <w:kern w:val="0"/>
          <w:sz w:val="32"/>
          <w:szCs w:val="32"/>
          <w:highlight w:val="none"/>
          <w:lang w:val="en-US" w:eastAsia="zh-CN" w:bidi="ar"/>
        </w:rPr>
        <w:t>场化改革，提升市场综合监管能力，完善公平竞争和产权保护制度，建设形成平等准入、公正监管、开放有序、规范守法的市场体系。</w:t>
      </w:r>
      <w:r>
        <w:rPr>
          <w:rFonts w:ascii="仿宋" w:hAnsi="仿宋" w:eastAsia="仿宋" w:cs="仿宋"/>
          <w:color w:val="auto"/>
          <w:kern w:val="0"/>
          <w:sz w:val="32"/>
          <w:szCs w:val="32"/>
          <w:highlight w:val="none"/>
          <w:lang w:val="en-US" w:eastAsia="zh-CN" w:bidi="ar"/>
        </w:rPr>
        <w:t>大力弘扬“有求必应、无事不扰”的店小二精神，围绕破解审</w:t>
      </w:r>
      <w:r>
        <w:rPr>
          <w:rFonts w:hint="eastAsia" w:ascii="仿宋" w:hAnsi="仿宋" w:eastAsia="仿宋" w:cs="仿宋"/>
          <w:color w:val="auto"/>
          <w:kern w:val="0"/>
          <w:sz w:val="32"/>
          <w:szCs w:val="32"/>
          <w:highlight w:val="none"/>
          <w:lang w:val="en-US" w:eastAsia="zh-CN" w:bidi="ar"/>
        </w:rPr>
        <w:t>批办证难、融资贷款难、产业创新难、降低成本难等问题，加快打造市场化、法治化、国际化营商环境，健全完善营商环境评价机制。</w:t>
      </w:r>
    </w:p>
    <w:p>
      <w:pPr>
        <w:keepNext w:val="0"/>
        <w:keepLines w:val="0"/>
        <w:pageBreakBefore w:val="0"/>
        <w:widowControl/>
        <w:suppressLineNumbers w:val="0"/>
        <w:kinsoku/>
        <w:wordWrap/>
        <w:overflowPunct/>
        <w:topLinePunct w:val="0"/>
        <w:autoSpaceDE/>
        <w:autoSpaceDN/>
        <w:bidi w:val="0"/>
        <w:spacing w:line="560" w:lineRule="exact"/>
        <w:ind w:left="0" w:leftChars="0" w:firstLine="643" w:firstLineChars="200"/>
        <w:jc w:val="both"/>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2、绩效目标</w:t>
      </w:r>
      <w:bookmarkEnd w:id="27"/>
      <w:bookmarkEnd w:id="2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2"/>
        <w:rPr>
          <w:rFonts w:ascii="仿宋" w:hAnsi="仿宋" w:cs="仿宋"/>
          <w:color w:val="auto"/>
          <w:sz w:val="32"/>
          <w:szCs w:val="32"/>
          <w:highlight w:val="none"/>
        </w:rPr>
      </w:pPr>
      <w:r>
        <w:rPr>
          <w:rFonts w:hint="eastAsia" w:ascii="仿宋" w:hAnsi="仿宋" w:cs="仿宋"/>
          <w:color w:val="auto"/>
          <w:kern w:val="0"/>
          <w:sz w:val="32"/>
          <w:szCs w:val="32"/>
          <w:highlight w:val="none"/>
          <w:lang w:val="en-US" w:eastAsia="zh-CN"/>
        </w:rPr>
        <w:t>黄石市</w:t>
      </w:r>
      <w:r>
        <w:rPr>
          <w:rFonts w:hint="eastAsia" w:ascii="仿宋" w:hAnsi="仿宋" w:cs="仿宋"/>
          <w:color w:val="auto"/>
          <w:kern w:val="0"/>
          <w:sz w:val="32"/>
          <w:szCs w:val="32"/>
          <w:highlight w:val="none"/>
          <w:lang w:eastAsia="zh-CN"/>
        </w:rPr>
        <w:t>下陆区2022年市场监督管理专项经费项目</w:t>
      </w:r>
      <w:r>
        <w:rPr>
          <w:rFonts w:hint="eastAsia" w:ascii="仿宋" w:hAnsi="仿宋" w:cs="仿宋"/>
          <w:color w:val="auto"/>
          <w:sz w:val="32"/>
          <w:szCs w:val="32"/>
          <w:highlight w:val="none"/>
        </w:rPr>
        <w:t>具体绩效目标为：</w:t>
      </w:r>
      <w:r>
        <w:rPr>
          <w:rFonts w:hint="eastAsia" w:ascii="仿宋" w:hAnsi="仿宋" w:cs="仿宋"/>
          <w:color w:val="auto"/>
          <w:sz w:val="32"/>
          <w:szCs w:val="32"/>
          <w:highlight w:val="none"/>
          <w:lang w:val="en-US" w:eastAsia="zh-CN"/>
        </w:rPr>
        <w:t>“双随机、一公开”检查批次50次;</w:t>
      </w:r>
      <w:r>
        <w:rPr>
          <w:rFonts w:hint="eastAsia" w:ascii="仿宋" w:hAnsi="仿宋" w:cs="仿宋"/>
          <w:color w:val="auto"/>
          <w:sz w:val="32"/>
          <w:szCs w:val="32"/>
          <w:highlight w:val="none"/>
        </w:rPr>
        <w:t>知识产权资助</w:t>
      </w:r>
      <w:r>
        <w:rPr>
          <w:rFonts w:hint="eastAsia" w:ascii="仿宋" w:hAnsi="仿宋" w:cs="仿宋"/>
          <w:color w:val="auto"/>
          <w:sz w:val="32"/>
          <w:szCs w:val="32"/>
          <w:highlight w:val="none"/>
          <w:lang w:val="en-US" w:eastAsia="zh-CN"/>
        </w:rPr>
        <w:t>20件;食品抽检合格率97%以上;监督检查公示率100%；工作完成及时率100%；服务对象满意度90%以上；优化政务服务，助推经济发展；</w:t>
      </w:r>
      <w:r>
        <w:rPr>
          <w:rFonts w:hint="eastAsia" w:ascii="仿宋" w:hAnsi="仿宋" w:eastAsia="仿宋" w:cs="仿宋"/>
          <w:color w:val="auto"/>
          <w:kern w:val="0"/>
          <w:sz w:val="31"/>
          <w:szCs w:val="31"/>
          <w:highlight w:val="none"/>
          <w:lang w:val="en-US" w:eastAsia="zh-CN" w:bidi="ar"/>
        </w:rPr>
        <w:t>加强综合监管，筑牢安全底线</w:t>
      </w:r>
      <w:r>
        <w:rPr>
          <w:rFonts w:hint="eastAsia" w:ascii="仿宋" w:hAnsi="仿宋" w:cs="仿宋"/>
          <w:color w:val="auto"/>
          <w:sz w:val="32"/>
          <w:szCs w:val="32"/>
          <w:highlight w:val="none"/>
          <w:lang w:val="en-US" w:eastAsia="zh-CN"/>
        </w:rPr>
        <w:t>。</w:t>
      </w:r>
      <w:bookmarkStart w:id="56" w:name="_GoBack"/>
      <w:bookmarkEnd w:id="56"/>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29" w:name="_Toc20180"/>
      <w:bookmarkStart w:id="30" w:name="_Toc24041"/>
      <w:r>
        <w:rPr>
          <w:rFonts w:hint="eastAsia" w:ascii="仿宋" w:hAnsi="仿宋" w:cs="仿宋"/>
          <w:b/>
          <w:bCs/>
          <w:color w:val="auto"/>
          <w:sz w:val="32"/>
          <w:szCs w:val="32"/>
          <w:highlight w:val="none"/>
        </w:rPr>
        <w:t>3、项目资金情况</w:t>
      </w:r>
      <w:bookmarkEnd w:id="29"/>
      <w:bookmarkEnd w:id="3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Cs/>
          <w:color w:val="auto"/>
          <w:sz w:val="32"/>
          <w:szCs w:val="32"/>
          <w:highlight w:val="none"/>
          <w:lang w:val="en-US" w:eastAsia="zh-CN"/>
        </w:rPr>
      </w:pPr>
      <w:r>
        <w:rPr>
          <w:rFonts w:hint="eastAsia" w:ascii="仿宋" w:hAnsi="仿宋" w:cs="仿宋"/>
          <w:color w:val="auto"/>
          <w:kern w:val="0"/>
          <w:sz w:val="32"/>
          <w:szCs w:val="32"/>
          <w:highlight w:val="none"/>
          <w:lang w:eastAsia="zh-CN"/>
        </w:rPr>
        <w:t>《下陆区财政局关于批复2022年区直部门预算的通知》（黄下财预发〔2021〕3号）、预算一体化系统的指标查询</w:t>
      </w:r>
      <w:r>
        <w:rPr>
          <w:rFonts w:hint="eastAsia" w:ascii="仿宋" w:hAnsi="仿宋" w:cs="仿宋"/>
          <w:color w:val="auto"/>
          <w:kern w:val="0"/>
          <w:sz w:val="32"/>
          <w:szCs w:val="32"/>
          <w:highlight w:val="none"/>
          <w:lang w:val="en-US" w:eastAsia="zh-CN"/>
        </w:rPr>
        <w:t>显示：</w:t>
      </w:r>
      <w:r>
        <w:rPr>
          <w:rFonts w:hint="eastAsia" w:ascii="仿宋" w:hAnsi="仿宋" w:cs="仿宋"/>
          <w:color w:val="auto"/>
          <w:kern w:val="0"/>
          <w:sz w:val="32"/>
          <w:szCs w:val="32"/>
          <w:highlight w:val="none"/>
          <w:lang w:eastAsia="zh-CN"/>
        </w:rPr>
        <w:t>下陆区2022年市场管理等专项经费预算安排135.00万元，实际到位资金135.00万元（其中：登记注册、工商行政审批20万元；食品药品专项经费40万元；市场管理专项经费15万元；特种设备、质量安全专项经费20万元；知识产权专项经费40万元），资金到位率100%</w:t>
      </w:r>
      <w:r>
        <w:rPr>
          <w:rFonts w:hint="eastAsia" w:ascii="仿宋" w:hAnsi="仿宋" w:cs="仿宋"/>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color w:val="auto"/>
          <w:kern w:val="2"/>
          <w:sz w:val="32"/>
          <w:szCs w:val="32"/>
          <w:highlight w:val="none"/>
          <w:lang w:val="en-US" w:eastAsia="zh-CN" w:bidi="ar-SA"/>
        </w:rPr>
      </w:pPr>
      <w:r>
        <w:rPr>
          <w:rFonts w:hint="eastAsia" w:ascii="仿宋" w:hAnsi="仿宋" w:cs="仿宋"/>
          <w:color w:val="auto"/>
          <w:kern w:val="0"/>
          <w:sz w:val="32"/>
          <w:szCs w:val="32"/>
          <w:highlight w:val="none"/>
          <w:lang w:eastAsia="zh-CN"/>
        </w:rPr>
        <w:t>预算一体化系统的指标执行查询</w:t>
      </w:r>
      <w:r>
        <w:rPr>
          <w:rFonts w:hint="eastAsia" w:ascii="仿宋" w:hAnsi="仿宋" w:cs="仿宋"/>
          <w:color w:val="auto"/>
          <w:kern w:val="0"/>
          <w:sz w:val="32"/>
          <w:szCs w:val="32"/>
          <w:highlight w:val="none"/>
          <w:lang w:val="en-US" w:eastAsia="zh-CN"/>
        </w:rPr>
        <w:t>显示：</w:t>
      </w:r>
      <w:r>
        <w:rPr>
          <w:rFonts w:hint="eastAsia" w:ascii="仿宋" w:hAnsi="仿宋" w:cs="仿宋"/>
          <w:color w:val="auto"/>
          <w:kern w:val="0"/>
          <w:sz w:val="32"/>
          <w:szCs w:val="32"/>
          <w:highlight w:val="none"/>
          <w:lang w:eastAsia="zh-CN"/>
        </w:rPr>
        <w:t>预算资金实际到位135.00万元，实际支出106.69万元（其中：登记注册、工商行政审批20万元；食品药品专项经费40万元；市场管理专项经费10.69万元；特种设备、质量安全专项经费20万元；知识产权专项经费16万元），预算执行率79.03%</w:t>
      </w:r>
      <w:r>
        <w:rPr>
          <w:rFonts w:hint="eastAsia" w:ascii="仿宋" w:hAnsi="仿宋" w:eastAsia="仿宋" w:cs="仿宋"/>
          <w:color w:val="auto"/>
          <w:kern w:val="2"/>
          <w:sz w:val="32"/>
          <w:szCs w:val="32"/>
          <w:highlight w:val="none"/>
          <w:lang w:val="en-US" w:eastAsia="zh-CN" w:bidi="ar-SA"/>
        </w:rPr>
        <w:t>。</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仿宋" w:hAnsi="仿宋" w:eastAsia="仿宋" w:cs="仿宋"/>
          <w:color w:val="auto"/>
          <w:sz w:val="32"/>
          <w:szCs w:val="32"/>
          <w:highlight w:val="none"/>
        </w:rPr>
      </w:pPr>
      <w:bookmarkStart w:id="31" w:name="_Toc17962"/>
      <w:bookmarkStart w:id="32" w:name="_Toc21254"/>
      <w:bookmarkStart w:id="33" w:name="_Toc24223"/>
      <w:r>
        <w:rPr>
          <w:rFonts w:hint="eastAsia" w:ascii="楷体" w:hAnsi="楷体" w:eastAsia="楷体" w:cs="楷体"/>
          <w:color w:val="auto"/>
          <w:sz w:val="32"/>
          <w:szCs w:val="32"/>
          <w:highlight w:val="none"/>
        </w:rPr>
        <w:t>（二）绩效评价工作开展情况</w:t>
      </w:r>
      <w:bookmarkEnd w:id="31"/>
      <w:bookmarkEnd w:id="32"/>
      <w:bookmarkEnd w:id="33"/>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34" w:name="_Toc45724251"/>
      <w:bookmarkStart w:id="35" w:name="_Toc8795"/>
      <w:bookmarkStart w:id="36" w:name="_Toc1089"/>
      <w:r>
        <w:rPr>
          <w:rFonts w:hint="eastAsia" w:ascii="仿宋" w:hAnsi="仿宋" w:cs="仿宋"/>
          <w:b/>
          <w:bCs/>
          <w:color w:val="auto"/>
          <w:sz w:val="32"/>
          <w:szCs w:val="32"/>
          <w:highlight w:val="none"/>
        </w:rPr>
        <w:t>1、绩效评价目的、对象和范围</w:t>
      </w:r>
      <w:bookmarkEnd w:id="34"/>
      <w:bookmarkEnd w:id="35"/>
      <w:bookmarkEnd w:id="3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本次绩效评价目的是通过考评</w:t>
      </w:r>
      <w:r>
        <w:rPr>
          <w:rFonts w:hint="eastAsia" w:ascii="仿宋" w:hAnsi="仿宋" w:cs="仿宋"/>
          <w:color w:val="auto"/>
          <w:kern w:val="0"/>
          <w:sz w:val="32"/>
          <w:szCs w:val="32"/>
          <w:highlight w:val="none"/>
          <w:lang w:eastAsia="zh-CN"/>
        </w:rPr>
        <w:t>市场监督管理专项经费项目</w:t>
      </w:r>
      <w:r>
        <w:rPr>
          <w:rFonts w:hint="eastAsia" w:ascii="仿宋" w:hAnsi="仿宋" w:cs="仿宋"/>
          <w:bCs/>
          <w:color w:val="auto"/>
          <w:sz w:val="32"/>
          <w:szCs w:val="32"/>
          <w:highlight w:val="none"/>
        </w:rPr>
        <w:t>财政支出</w:t>
      </w:r>
      <w:r>
        <w:rPr>
          <w:rFonts w:hint="eastAsia" w:ascii="仿宋" w:hAnsi="仿宋" w:cs="仿宋"/>
          <w:color w:val="auto"/>
          <w:sz w:val="32"/>
          <w:szCs w:val="32"/>
          <w:highlight w:val="none"/>
        </w:rPr>
        <w:t>绩效，</w:t>
      </w:r>
      <w:r>
        <w:rPr>
          <w:rFonts w:hint="eastAsia" w:ascii="仿宋" w:hAnsi="仿宋"/>
          <w:color w:val="auto"/>
          <w:kern w:val="0"/>
          <w:sz w:val="32"/>
          <w:szCs w:val="32"/>
          <w:highlight w:val="none"/>
        </w:rPr>
        <w:t>提升财政资金管理水平，提高财政资金使用效益和效率。运用绩效评价成果，为预算资金分配提供参考依据，建立科学规范的财政支出绩效评价管理体系。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ascii="仿宋" w:hAnsi="仿宋" w:cs="仿宋"/>
          <w:color w:val="auto"/>
          <w:sz w:val="32"/>
          <w:szCs w:val="32"/>
          <w:highlight w:val="none"/>
        </w:rPr>
      </w:pPr>
      <w:r>
        <w:rPr>
          <w:rFonts w:hint="eastAsia" w:ascii="仿宋" w:hAnsi="仿宋" w:cs="仿宋"/>
          <w:color w:val="auto"/>
          <w:sz w:val="32"/>
          <w:szCs w:val="32"/>
          <w:highlight w:val="none"/>
        </w:rPr>
        <w:t>本次考评的对象是</w:t>
      </w:r>
      <w:r>
        <w:rPr>
          <w:rFonts w:hint="eastAsia" w:ascii="仿宋" w:hAnsi="仿宋" w:cs="仿宋"/>
          <w:color w:val="auto"/>
          <w:sz w:val="32"/>
          <w:szCs w:val="32"/>
          <w:highlight w:val="none"/>
          <w:lang w:val="en-US" w:eastAsia="zh-CN"/>
        </w:rPr>
        <w:t>下陆区2022年</w:t>
      </w:r>
      <w:r>
        <w:rPr>
          <w:rFonts w:hint="eastAsia" w:ascii="仿宋" w:hAnsi="仿宋" w:cs="仿宋"/>
          <w:color w:val="auto"/>
          <w:kern w:val="0"/>
          <w:sz w:val="32"/>
          <w:szCs w:val="32"/>
          <w:highlight w:val="none"/>
          <w:lang w:eastAsia="zh-CN"/>
        </w:rPr>
        <w:t>市场监督管理专项经费项目</w:t>
      </w:r>
      <w:r>
        <w:rPr>
          <w:rFonts w:hint="eastAsia" w:ascii="仿宋" w:hAnsi="仿宋" w:cs="仿宋"/>
          <w:color w:val="auto"/>
          <w:sz w:val="32"/>
          <w:szCs w:val="32"/>
          <w:highlight w:val="none"/>
          <w:lang w:eastAsia="zh-CN"/>
        </w:rPr>
        <w:t>资金</w:t>
      </w:r>
      <w:r>
        <w:rPr>
          <w:rFonts w:hint="eastAsia" w:ascii="仿宋" w:hAnsi="仿宋" w:cs="仿宋"/>
          <w:color w:val="auto"/>
          <w:sz w:val="32"/>
          <w:szCs w:val="32"/>
          <w:highlight w:val="none"/>
          <w:lang w:val="en-US" w:eastAsia="zh-CN"/>
        </w:rPr>
        <w:t>135</w:t>
      </w:r>
      <w:r>
        <w:rPr>
          <w:rFonts w:hint="eastAsia" w:ascii="仿宋" w:hAnsi="仿宋" w:cs="仿宋"/>
          <w:color w:val="auto"/>
          <w:sz w:val="32"/>
          <w:szCs w:val="32"/>
          <w:highlight w:val="none"/>
          <w:lang w:eastAsia="zh-CN"/>
        </w:rPr>
        <w:t>万元（其中：登记注册、工商行政审批20万元；食品药品专项经费40万元；市场管理专项经费15万元；特种设备、质量安全专项经费20万元；知识产权专项经费40万元）</w:t>
      </w:r>
      <w:r>
        <w:rPr>
          <w:rFonts w:hint="eastAsia" w:ascii="仿宋" w:hAnsi="仿宋" w:cs="仿宋"/>
          <w:color w:val="auto"/>
          <w:sz w:val="32"/>
          <w:szCs w:val="32"/>
          <w:highlight w:val="none"/>
        </w:rPr>
        <w:t>。</w:t>
      </w:r>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w:t>
      </w:r>
      <w:r>
        <w:rPr>
          <w:rFonts w:hint="eastAsia" w:ascii="楷体" w:hAnsi="楷体" w:eastAsia="楷体"/>
          <w:color w:val="auto"/>
          <w:kern w:val="0"/>
          <w:sz w:val="32"/>
          <w:szCs w:val="32"/>
          <w:highlight w:val="none"/>
        </w:rPr>
        <w:t>绩效评价原则、指标体系、评价方法和标准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（1）绩效评价原则</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①科学规范原则。指绩效评价应严格执行规定的程序，按照科学可行的要求，采用定量与定性分析相结合的方式，运用科学合理的方法，对预算绩效进行客观、公正地反映。</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②绩效相关原则。指绩效评价应围绕绩效目标、针对具体支出及其产出进行，评价结果应清晰反映支出、产出和绩效之间的对应关系。</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b/>
          <w:color w:val="auto"/>
          <w:kern w:val="0"/>
          <w:sz w:val="32"/>
          <w:szCs w:val="32"/>
          <w:highlight w:val="none"/>
        </w:rPr>
      </w:pPr>
      <w:r>
        <w:rPr>
          <w:rFonts w:hint="eastAsia" w:ascii="仿宋" w:hAnsi="仿宋" w:cs="仿宋"/>
          <w:color w:val="auto"/>
          <w:sz w:val="32"/>
          <w:szCs w:val="32"/>
          <w:highlight w:val="none"/>
        </w:rPr>
        <w:t>③公正公开原则。指绩效评价应符合真实、客观、公正的要求，评价结果应按照规定依法依规公开，并自觉接受社会监督。</w:t>
      </w:r>
    </w:p>
    <w:p>
      <w:pPr>
        <w:pStyle w:val="14"/>
        <w:pageBreakBefore w:val="0"/>
        <w:kinsoku/>
        <w:wordWrap/>
        <w:overflowPunct/>
        <w:topLinePunct w:val="0"/>
        <w:autoSpaceDE/>
        <w:autoSpaceDN/>
        <w:bidi w:val="0"/>
        <w:spacing w:line="560" w:lineRule="exact"/>
        <w:ind w:left="0" w:leftChars="0" w:firstLine="643" w:firstLineChars="200"/>
        <w:textAlignment w:val="auto"/>
        <w:rPr>
          <w:rFonts w:cstheme="minorBidi"/>
          <w:color w:val="auto"/>
          <w:kern w:val="0"/>
          <w:sz w:val="32"/>
          <w:highlight w:val="none"/>
          <w:lang w:val="en-US" w:bidi="ar-SA"/>
        </w:rPr>
      </w:pPr>
      <w:r>
        <w:rPr>
          <w:rFonts w:hint="eastAsia"/>
          <w:b/>
          <w:bCs/>
          <w:color w:val="auto"/>
          <w:sz w:val="32"/>
          <w:highlight w:val="none"/>
          <w:lang w:val="en-US" w:bidi="ar-SA"/>
        </w:rPr>
        <w:t>（</w:t>
      </w:r>
      <w:r>
        <w:rPr>
          <w:rFonts w:hint="eastAsia" w:cstheme="minorBidi"/>
          <w:color w:val="auto"/>
          <w:kern w:val="0"/>
          <w:sz w:val="32"/>
          <w:highlight w:val="none"/>
          <w:lang w:val="en-US" w:bidi="ar-SA"/>
        </w:rPr>
        <w:t>2）</w:t>
      </w:r>
      <w:r>
        <w:rPr>
          <w:rFonts w:hint="eastAsia"/>
          <w:color w:val="auto"/>
          <w:kern w:val="0"/>
          <w:sz w:val="32"/>
          <w:highlight w:val="none"/>
        </w:rPr>
        <w:t>绩效</w:t>
      </w:r>
      <w:r>
        <w:rPr>
          <w:rFonts w:hint="eastAsia" w:cstheme="minorBidi"/>
          <w:color w:val="auto"/>
          <w:kern w:val="0"/>
          <w:sz w:val="32"/>
          <w:highlight w:val="none"/>
          <w:lang w:val="en-US" w:bidi="ar-SA"/>
        </w:rPr>
        <w:t>评价体系</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bCs/>
          <w:color w:val="auto"/>
          <w:sz w:val="32"/>
          <w:szCs w:val="32"/>
          <w:highlight w:val="none"/>
        </w:rPr>
      </w:pPr>
      <w:r>
        <w:rPr>
          <w:rFonts w:hint="eastAsia" w:ascii="仿宋" w:hAnsi="仿宋" w:cs="仿宋"/>
          <w:color w:val="auto"/>
          <w:kern w:val="0"/>
          <w:sz w:val="32"/>
          <w:szCs w:val="32"/>
          <w:highlight w:val="none"/>
          <w:lang w:eastAsia="zh-CN"/>
        </w:rPr>
        <w:t>下陆区市场监督管理专项经费项目</w:t>
      </w:r>
      <w:r>
        <w:rPr>
          <w:rFonts w:hint="eastAsia" w:ascii="仿宋" w:hAnsi="仿宋" w:cs="仿宋"/>
          <w:bCs/>
          <w:color w:val="auto"/>
          <w:sz w:val="32"/>
          <w:szCs w:val="32"/>
          <w:highlight w:val="none"/>
        </w:rPr>
        <w:t>财政支出绩效评价指标体系以</w:t>
      </w:r>
      <w:r>
        <w:rPr>
          <w:rFonts w:hint="eastAsia" w:ascii="仿宋" w:hAnsi="仿宋"/>
          <w:color w:val="auto"/>
          <w:kern w:val="0"/>
          <w:sz w:val="32"/>
          <w:szCs w:val="32"/>
          <w:highlight w:val="none"/>
        </w:rPr>
        <w:t>《湖北省省级预算绩效评价管理暂行办法》中“共性指标体系框架”为基础</w:t>
      </w:r>
      <w:r>
        <w:rPr>
          <w:rFonts w:hint="eastAsia" w:ascii="仿宋" w:hAnsi="仿宋" w:cs="仿宋"/>
          <w:bCs/>
          <w:color w:val="auto"/>
          <w:sz w:val="32"/>
          <w:szCs w:val="32"/>
          <w:highlight w:val="none"/>
        </w:rPr>
        <w:t>，结合对</w:t>
      </w:r>
      <w:r>
        <w:rPr>
          <w:rFonts w:hint="eastAsia" w:ascii="仿宋" w:hAnsi="仿宋" w:cs="仿宋"/>
          <w:bCs/>
          <w:color w:val="auto"/>
          <w:sz w:val="32"/>
          <w:szCs w:val="32"/>
          <w:highlight w:val="none"/>
          <w:lang w:val="en-US" w:eastAsia="zh-CN"/>
        </w:rPr>
        <w:t>下陆区市场监督管理局</w:t>
      </w:r>
      <w:r>
        <w:rPr>
          <w:rFonts w:hint="eastAsia" w:ascii="仿宋" w:hAnsi="仿宋"/>
          <w:color w:val="auto"/>
          <w:kern w:val="0"/>
          <w:sz w:val="32"/>
          <w:szCs w:val="32"/>
          <w:highlight w:val="none"/>
          <w:lang w:val="en-US" w:eastAsia="zh-CN"/>
        </w:rPr>
        <w:t>等单位</w:t>
      </w:r>
      <w:r>
        <w:rPr>
          <w:rFonts w:hint="eastAsia" w:ascii="仿宋" w:hAnsi="仿宋"/>
          <w:color w:val="auto"/>
          <w:kern w:val="0"/>
          <w:sz w:val="32"/>
          <w:szCs w:val="32"/>
          <w:highlight w:val="none"/>
        </w:rPr>
        <w:t>的了解</w:t>
      </w:r>
      <w:r>
        <w:rPr>
          <w:rFonts w:hint="eastAsia" w:ascii="仿宋" w:hAnsi="仿宋" w:cs="仿宋"/>
          <w:bCs/>
          <w:color w:val="auto"/>
          <w:sz w:val="32"/>
          <w:szCs w:val="32"/>
          <w:highlight w:val="none"/>
        </w:rPr>
        <w:t>和</w:t>
      </w:r>
      <w:r>
        <w:rPr>
          <w:rFonts w:hint="eastAsia" w:ascii="仿宋" w:hAnsi="仿宋" w:cs="仿宋"/>
          <w:color w:val="auto"/>
          <w:kern w:val="0"/>
          <w:sz w:val="32"/>
          <w:szCs w:val="32"/>
          <w:highlight w:val="none"/>
          <w:lang w:eastAsia="zh-CN"/>
        </w:rPr>
        <w:t>市场监督管理专项经费项目</w:t>
      </w:r>
      <w:r>
        <w:rPr>
          <w:rFonts w:hint="eastAsia" w:ascii="仿宋" w:hAnsi="仿宋" w:cs="仿宋"/>
          <w:bCs/>
          <w:color w:val="auto"/>
          <w:sz w:val="32"/>
          <w:szCs w:val="32"/>
          <w:highlight w:val="none"/>
        </w:rPr>
        <w:t>管理特点进行设计的，按照决策、过程、产出和效果四个部分设计评价指标体系，采用1</w:t>
      </w:r>
      <w:r>
        <w:rPr>
          <w:rFonts w:hint="eastAsia" w:ascii="仿宋" w:hAnsi="仿宋" w:cs="仿宋"/>
          <w:bCs/>
          <w:color w:val="auto"/>
          <w:sz w:val="32"/>
          <w:szCs w:val="32"/>
          <w:highlight w:val="none"/>
          <w:lang w:val="en-US" w:eastAsia="zh-CN"/>
        </w:rPr>
        <w:t>1</w:t>
      </w:r>
      <w:r>
        <w:rPr>
          <w:rFonts w:hint="eastAsia" w:ascii="仿宋" w:hAnsi="仿宋" w:cs="仿宋"/>
          <w:bCs/>
          <w:color w:val="auto"/>
          <w:sz w:val="32"/>
          <w:szCs w:val="32"/>
          <w:highlight w:val="none"/>
        </w:rPr>
        <w:t>个子类指标，设计了</w:t>
      </w:r>
      <w:r>
        <w:rPr>
          <w:rFonts w:hint="eastAsia" w:ascii="仿宋" w:hAnsi="仿宋" w:cs="仿宋"/>
          <w:bCs/>
          <w:color w:val="auto"/>
          <w:sz w:val="32"/>
          <w:szCs w:val="32"/>
          <w:highlight w:val="none"/>
          <w:lang w:val="en-US" w:eastAsia="zh-CN"/>
        </w:rPr>
        <w:t>20</w:t>
      </w:r>
      <w:r>
        <w:rPr>
          <w:rFonts w:hint="eastAsia" w:ascii="仿宋" w:hAnsi="仿宋" w:cs="仿宋"/>
          <w:bCs/>
          <w:color w:val="auto"/>
          <w:sz w:val="32"/>
          <w:szCs w:val="32"/>
          <w:highlight w:val="none"/>
        </w:rPr>
        <w:t>个具体指标。其中，决策部分总分值12分，过程部分总分值</w:t>
      </w:r>
      <w:r>
        <w:rPr>
          <w:rFonts w:hint="eastAsia" w:ascii="仿宋" w:hAnsi="仿宋" w:cs="仿宋"/>
          <w:bCs/>
          <w:color w:val="auto"/>
          <w:sz w:val="32"/>
          <w:szCs w:val="32"/>
          <w:highlight w:val="none"/>
          <w:lang w:val="en-US" w:eastAsia="zh-CN"/>
        </w:rPr>
        <w:t>23</w:t>
      </w:r>
      <w:r>
        <w:rPr>
          <w:rFonts w:hint="eastAsia" w:ascii="仿宋" w:hAnsi="仿宋" w:cs="仿宋"/>
          <w:bCs/>
          <w:color w:val="auto"/>
          <w:sz w:val="32"/>
          <w:szCs w:val="32"/>
          <w:highlight w:val="none"/>
        </w:rPr>
        <w:t>分，产出部分总分值</w:t>
      </w:r>
      <w:r>
        <w:rPr>
          <w:rFonts w:hint="eastAsia" w:ascii="仿宋" w:hAnsi="仿宋" w:cs="仿宋"/>
          <w:bCs/>
          <w:color w:val="auto"/>
          <w:sz w:val="32"/>
          <w:szCs w:val="32"/>
          <w:highlight w:val="none"/>
          <w:lang w:val="en-US" w:eastAsia="zh-CN"/>
        </w:rPr>
        <w:t>30</w:t>
      </w:r>
      <w:r>
        <w:rPr>
          <w:rFonts w:hint="eastAsia" w:ascii="仿宋" w:hAnsi="仿宋" w:cs="仿宋"/>
          <w:bCs/>
          <w:color w:val="auto"/>
          <w:sz w:val="32"/>
          <w:szCs w:val="32"/>
          <w:highlight w:val="none"/>
        </w:rPr>
        <w:t>分，效果部分总分值</w:t>
      </w:r>
      <w:r>
        <w:rPr>
          <w:rFonts w:hint="eastAsia" w:ascii="仿宋" w:hAnsi="仿宋" w:cs="仿宋"/>
          <w:bCs/>
          <w:color w:val="auto"/>
          <w:sz w:val="32"/>
          <w:szCs w:val="32"/>
          <w:highlight w:val="none"/>
          <w:lang w:val="en-US" w:eastAsia="zh-CN"/>
        </w:rPr>
        <w:t>35</w:t>
      </w:r>
      <w:r>
        <w:rPr>
          <w:rFonts w:hint="eastAsia" w:ascii="仿宋" w:hAnsi="仿宋" w:cs="仿宋"/>
          <w:bCs/>
          <w:color w:val="auto"/>
          <w:sz w:val="32"/>
          <w:szCs w:val="32"/>
          <w:highlight w:val="none"/>
        </w:rPr>
        <w:t>分。详情请参见附表2。</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olor w:val="auto"/>
          <w:kern w:val="0"/>
          <w:sz w:val="32"/>
          <w:szCs w:val="32"/>
          <w:highlight w:val="none"/>
        </w:rPr>
      </w:pPr>
      <w:bookmarkStart w:id="37" w:name="_Toc15057"/>
      <w:bookmarkStart w:id="38" w:name="_Toc29642"/>
      <w:bookmarkStart w:id="39" w:name="_Toc8628"/>
      <w:r>
        <w:rPr>
          <w:rFonts w:hint="eastAsia" w:ascii="仿宋" w:hAnsi="仿宋"/>
          <w:color w:val="auto"/>
          <w:kern w:val="0"/>
          <w:sz w:val="32"/>
          <w:szCs w:val="32"/>
          <w:highlight w:val="none"/>
        </w:rPr>
        <w:t>（3）评价方法</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本次绩效评价方法主要采用比较法、公众评判法和其他评价方法，具体方法如下：</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①比较法。是指将实施情况与绩效目标、历史情况、不同部门和地区同类支出情况进行比较的方法。</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②公众评判法。是指通过专家评估、公众问卷及抽样调查等方式进行评判的方法。</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③其他评价方法。一是收集并核实项目实施单位项目实施档案资料；二是查阅账本、凭证，包括对单位的总账、明细账及辅助账等进行核查，对项目的资金来源及去向进行整理；三是结合资金使用，核实项目实施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（4）评价标准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本次绩效评价，我们采取计划标准、历史标准、相关管理要求确定的标准进行评价。上级主管部门批复了具体可量化绩效目标的指标采用计划标准评价；有关产出质量指标采用相关管理要求评价。将绩效目标的计划标准、历史标准和相关管理要求与评价过程中工作总结和有关数据进行对比，确定了两者之间的差异并据此评分。</w:t>
      </w:r>
    </w:p>
    <w:p>
      <w:pPr>
        <w:pageBreakBefore w:val="0"/>
        <w:kinsoku/>
        <w:wordWrap/>
        <w:overflowPunct/>
        <w:topLinePunct w:val="0"/>
        <w:autoSpaceDE/>
        <w:autoSpaceDN/>
        <w:bidi w:val="0"/>
        <w:spacing w:line="560" w:lineRule="exact"/>
        <w:ind w:left="0" w:leftChars="0" w:firstLine="640" w:firstLineChars="200"/>
        <w:textAlignment w:val="auto"/>
        <w:rPr>
          <w:rFonts w:ascii="楷体" w:hAnsi="楷体" w:eastAsia="楷体"/>
          <w:color w:val="auto"/>
          <w:kern w:val="0"/>
          <w:sz w:val="32"/>
          <w:szCs w:val="32"/>
          <w:highlight w:val="none"/>
        </w:rPr>
      </w:pPr>
      <w:r>
        <w:rPr>
          <w:rFonts w:hint="eastAsia" w:ascii="楷体" w:hAnsi="楷体" w:eastAsia="楷体"/>
          <w:color w:val="auto"/>
          <w:kern w:val="0"/>
          <w:sz w:val="32"/>
          <w:szCs w:val="32"/>
          <w:highlight w:val="none"/>
        </w:rPr>
        <w:t>3.绩效评价内容和工作程序</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（1）评价内容</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评价内容分为项目决策、项目过程、项目产出和项目效果四个方面。</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项目决策评价，主要考核项目立项程序是否规范，绩效目标是否合理，绩效指标是否明确，资金是否及时到位。</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项目过程评价，主要考核项目在实施过程中，业务管理和财务管理两方面是否有健全的管理制度及其执行是否到位。</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项目产出评价，是要结合项目的统计数据和管理台账，检查项目履行职责时工作任务数量、质量、及时性等方面是否达到了预定目标。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项目效果评价，主要考核项目取得的实际效果，包括取得的社会效益、服务对象满意度和可持续影响等方面。</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olor w:val="auto"/>
          <w:kern w:val="0"/>
          <w:sz w:val="32"/>
          <w:szCs w:val="30"/>
          <w:highlight w:val="none"/>
        </w:rPr>
      </w:pPr>
      <w:r>
        <w:rPr>
          <w:rFonts w:hint="eastAsia" w:ascii="仿宋" w:hAnsi="仿宋"/>
          <w:color w:val="auto"/>
          <w:kern w:val="0"/>
          <w:sz w:val="32"/>
          <w:szCs w:val="30"/>
          <w:highlight w:val="none"/>
        </w:rPr>
        <w:t>（2）评价工作程序</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根据</w:t>
      </w:r>
      <w:r>
        <w:rPr>
          <w:rFonts w:hint="eastAsia" w:ascii="仿宋" w:hAnsi="仿宋" w:cs="仿宋"/>
          <w:color w:val="auto"/>
          <w:sz w:val="32"/>
          <w:szCs w:val="32"/>
          <w:highlight w:val="none"/>
          <w:lang w:val="en-US" w:eastAsia="zh-CN"/>
        </w:rPr>
        <w:t>下陆区</w:t>
      </w:r>
      <w:r>
        <w:rPr>
          <w:rFonts w:hint="eastAsia" w:ascii="仿宋" w:hAnsi="仿宋" w:cs="仿宋"/>
          <w:color w:val="auto"/>
          <w:sz w:val="32"/>
          <w:szCs w:val="32"/>
          <w:highlight w:val="none"/>
        </w:rPr>
        <w:t>财政局的要求组成绩效评价工作组，开展具体工作。</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①拟定工作方案。初步制定绩效评价具体任务实施方案，包括时间安排、工作步骤、人员分工等。</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②收集相关基础信息资料，包括</w:t>
      </w:r>
      <w:r>
        <w:rPr>
          <w:rFonts w:hint="eastAsia" w:ascii="仿宋" w:hAnsi="仿宋" w:cs="仿宋"/>
          <w:color w:val="auto"/>
          <w:sz w:val="32"/>
          <w:szCs w:val="32"/>
          <w:highlight w:val="none"/>
          <w:lang w:val="en-US" w:eastAsia="zh-CN"/>
        </w:rPr>
        <w:t>黄石市下陆区市场监督管理局等单位</w:t>
      </w:r>
      <w:r>
        <w:rPr>
          <w:rFonts w:hint="eastAsia" w:ascii="仿宋" w:hAnsi="仿宋" w:cs="仿宋"/>
          <w:color w:val="auto"/>
          <w:sz w:val="32"/>
          <w:szCs w:val="32"/>
          <w:highlight w:val="none"/>
        </w:rPr>
        <w:t>提供的项目工作总结、绩效管理目标考核情况及资金计划文件资料等。</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③到</w:t>
      </w:r>
      <w:r>
        <w:rPr>
          <w:rFonts w:hint="eastAsia" w:ascii="仿宋" w:hAnsi="仿宋" w:cs="仿宋"/>
          <w:color w:val="auto"/>
          <w:sz w:val="32"/>
          <w:szCs w:val="32"/>
          <w:highlight w:val="none"/>
          <w:lang w:val="en-US" w:eastAsia="zh-CN"/>
        </w:rPr>
        <w:t>黄石市下陆区市场监督管理局等单位</w:t>
      </w:r>
      <w:r>
        <w:rPr>
          <w:rFonts w:hint="eastAsia" w:ascii="仿宋" w:hAnsi="仿宋" w:cs="仿宋"/>
          <w:color w:val="auto"/>
          <w:sz w:val="32"/>
          <w:szCs w:val="32"/>
          <w:highlight w:val="none"/>
        </w:rPr>
        <w:t>调研，收集基础数据和资料。</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④按照《湖北省省级预算绩效评价管理暂行办法》中湖北省省级预算项目绩效评价共性指标体系框架，草拟评价指标体系、指标标准值、基础数据表等。</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⑤在指标体系完成初步设计后，与</w:t>
      </w:r>
      <w:r>
        <w:rPr>
          <w:rFonts w:hint="eastAsia" w:ascii="仿宋" w:hAnsi="仿宋" w:cs="仿宋"/>
          <w:color w:val="auto"/>
          <w:sz w:val="32"/>
          <w:szCs w:val="32"/>
          <w:highlight w:val="none"/>
          <w:lang w:val="en-US" w:eastAsia="zh-CN"/>
        </w:rPr>
        <w:t>黄石市下陆区财政局</w:t>
      </w:r>
      <w:r>
        <w:rPr>
          <w:rFonts w:hint="eastAsia" w:ascii="仿宋" w:hAnsi="仿宋" w:cs="仿宋"/>
          <w:color w:val="auto"/>
          <w:sz w:val="32"/>
          <w:szCs w:val="32"/>
          <w:highlight w:val="none"/>
        </w:rPr>
        <w:t>交换意见，形成最终评价指标表。</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⑥到</w:t>
      </w:r>
      <w:r>
        <w:rPr>
          <w:rFonts w:hint="eastAsia" w:ascii="仿宋" w:hAnsi="仿宋" w:cs="仿宋"/>
          <w:color w:val="auto"/>
          <w:sz w:val="32"/>
          <w:szCs w:val="32"/>
          <w:highlight w:val="none"/>
          <w:lang w:val="en-US" w:eastAsia="zh-CN"/>
        </w:rPr>
        <w:t>黄石市下陆区市场监督管理局等单位</w:t>
      </w:r>
      <w:r>
        <w:rPr>
          <w:rFonts w:hint="eastAsia" w:ascii="仿宋" w:hAnsi="仿宋" w:cs="仿宋"/>
          <w:color w:val="auto"/>
          <w:sz w:val="32"/>
          <w:szCs w:val="32"/>
          <w:highlight w:val="none"/>
        </w:rPr>
        <w:t>询查、复核等方式整理评价数据和资料，并通过调查问卷方式，了解项目实施效果和</w:t>
      </w:r>
      <w:r>
        <w:rPr>
          <w:rFonts w:hint="eastAsia" w:ascii="仿宋" w:hAnsi="仿宋" w:cs="仿宋"/>
          <w:color w:val="auto"/>
          <w:sz w:val="32"/>
          <w:szCs w:val="32"/>
          <w:highlight w:val="none"/>
          <w:lang w:val="en-US" w:eastAsia="zh-CN"/>
        </w:rPr>
        <w:t>公众</w:t>
      </w:r>
      <w:r>
        <w:rPr>
          <w:rFonts w:hint="eastAsia" w:ascii="仿宋" w:hAnsi="仿宋" w:cs="仿宋"/>
          <w:color w:val="auto"/>
          <w:sz w:val="32"/>
          <w:szCs w:val="32"/>
          <w:highlight w:val="none"/>
        </w:rPr>
        <w:t>对象满意度情况。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⑦分析基础数据并计算评价结果。由绩效评价工作组根据提供的资料及现场检查情况，核实基础数据的完整性、真实性以及口径的一致性，按评价标准和评价规范，对绩效考评量化指标各项具体指标计算和打分。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⑧形成综合评价结论、起草评价报告；完成评价报告的内部审核后，递交</w:t>
      </w:r>
      <w:r>
        <w:rPr>
          <w:rFonts w:hint="eastAsia" w:ascii="仿宋" w:hAnsi="仿宋" w:cs="仿宋"/>
          <w:color w:val="auto"/>
          <w:sz w:val="32"/>
          <w:szCs w:val="32"/>
          <w:highlight w:val="none"/>
          <w:lang w:val="en-US" w:eastAsia="zh-CN"/>
        </w:rPr>
        <w:t>黄石市下陆区财政局</w:t>
      </w:r>
      <w:r>
        <w:rPr>
          <w:rFonts w:hint="eastAsia" w:ascii="仿宋" w:hAnsi="仿宋" w:cs="仿宋"/>
          <w:color w:val="auto"/>
          <w:sz w:val="32"/>
          <w:szCs w:val="32"/>
          <w:highlight w:val="none"/>
        </w:rPr>
        <w:t>征求意见。</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⑨</w:t>
      </w:r>
      <w:r>
        <w:rPr>
          <w:rFonts w:hint="eastAsia" w:ascii="仿宋" w:hAnsi="仿宋" w:cs="仿宋"/>
          <w:color w:val="auto"/>
          <w:sz w:val="32"/>
          <w:szCs w:val="32"/>
          <w:highlight w:val="none"/>
          <w:lang w:val="en-US" w:eastAsia="zh-CN"/>
        </w:rPr>
        <w:t>黄石市下陆区财政局</w:t>
      </w:r>
      <w:r>
        <w:rPr>
          <w:rFonts w:hint="eastAsia" w:ascii="仿宋" w:hAnsi="仿宋" w:cs="仿宋"/>
          <w:color w:val="auto"/>
          <w:sz w:val="32"/>
          <w:szCs w:val="32"/>
          <w:highlight w:val="none"/>
        </w:rPr>
        <w:t>提供反馈意见，根据反馈意见修改完善评价报告。</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⑩出具正式绩效评价报告。</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楷体" w:hAnsi="楷体" w:eastAsia="楷体" w:cs="楷体"/>
          <w:color w:val="auto"/>
          <w:sz w:val="32"/>
          <w:szCs w:val="32"/>
          <w:highlight w:val="none"/>
        </w:rPr>
      </w:pPr>
      <w:bookmarkStart w:id="40" w:name="_Toc20177"/>
      <w:r>
        <w:rPr>
          <w:rFonts w:hint="eastAsia" w:ascii="楷体" w:hAnsi="楷体" w:eastAsia="楷体" w:cs="楷体"/>
          <w:color w:val="auto"/>
          <w:sz w:val="32"/>
          <w:szCs w:val="32"/>
          <w:highlight w:val="none"/>
        </w:rPr>
        <w:t>（三）绩效指标完成情况分析</w:t>
      </w:r>
      <w:bookmarkEnd w:id="37"/>
      <w:bookmarkEnd w:id="38"/>
      <w:bookmarkEnd w:id="40"/>
    </w:p>
    <w:bookmarkEnd w:id="39"/>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41" w:name="_Toc27472"/>
      <w:bookmarkStart w:id="42" w:name="_Toc25681"/>
      <w:bookmarkStart w:id="43" w:name="_Toc26386"/>
      <w:bookmarkStart w:id="44" w:name="_Toc24414"/>
      <w:bookmarkStart w:id="45" w:name="_Toc12450"/>
      <w:r>
        <w:rPr>
          <w:rFonts w:hint="eastAsia" w:ascii="仿宋" w:hAnsi="仿宋" w:cs="仿宋"/>
          <w:b/>
          <w:bCs/>
          <w:color w:val="auto"/>
          <w:sz w:val="32"/>
          <w:szCs w:val="32"/>
          <w:highlight w:val="none"/>
        </w:rPr>
        <w:t>1、项目决策情况</w:t>
      </w:r>
      <w:bookmarkEnd w:id="41"/>
      <w:bookmarkEnd w:id="42"/>
      <w:bookmarkEnd w:id="43"/>
      <w:bookmarkEnd w:id="44"/>
      <w:bookmarkEnd w:id="4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为了全面、深入的了解本项目的决策情况，绩效评价人员从项目立项、绩效目标、资金投入三个方面对项目的决策情况进行了分析：</w:t>
      </w:r>
    </w:p>
    <w:p>
      <w:pPr>
        <w:pageBreakBefore w:val="0"/>
        <w:widowControl/>
        <w:numPr>
          <w:ilvl w:val="0"/>
          <w:numId w:val="2"/>
        </w:numPr>
        <w:kinsoku/>
        <w:wordWrap/>
        <w:overflowPunct/>
        <w:topLinePunct w:val="0"/>
        <w:autoSpaceDE/>
        <w:autoSpaceDN/>
        <w:bidi w:val="0"/>
        <w:spacing w:line="560" w:lineRule="exact"/>
        <w:ind w:left="0" w:leftChars="0" w:firstLine="643" w:firstLineChars="200"/>
        <w:jc w:val="left"/>
        <w:textAlignment w:val="auto"/>
        <w:rPr>
          <w:rFonts w:ascii="仿宋" w:hAnsi="仿宋" w:cs="仿宋"/>
          <w:color w:val="auto"/>
          <w:sz w:val="32"/>
          <w:szCs w:val="32"/>
          <w:highlight w:val="none"/>
        </w:rPr>
      </w:pPr>
      <w:r>
        <w:rPr>
          <w:rFonts w:hint="eastAsia" w:ascii="仿宋" w:hAnsi="仿宋" w:cs="仿宋"/>
          <w:b/>
          <w:bCs/>
          <w:color w:val="auto"/>
          <w:sz w:val="32"/>
          <w:szCs w:val="32"/>
          <w:highlight w:val="none"/>
        </w:rPr>
        <w:t>项目立项</w:t>
      </w:r>
      <w:bookmarkStart w:id="46" w:name="_Toc434318900"/>
      <w:bookmarkStart w:id="47" w:name="_Toc434318709"/>
    </w:p>
    <w:bookmarkEnd w:id="46"/>
    <w:bookmarkEnd w:id="47"/>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2"/>
        <w:rPr>
          <w:rFonts w:hint="eastAsia" w:ascii="仿宋" w:hAnsi="仿宋" w:eastAsia="仿宋" w:cs="仿宋"/>
          <w:color w:val="auto"/>
          <w:kern w:val="0"/>
          <w:sz w:val="32"/>
          <w:szCs w:val="32"/>
          <w:highlight w:val="none"/>
          <w:lang w:val="en-US" w:eastAsia="zh-CN" w:bidi="ar"/>
        </w:rPr>
      </w:pPr>
      <w:r>
        <w:rPr>
          <w:rFonts w:hint="eastAsia" w:ascii="仿宋" w:hAnsi="仿宋" w:cs="仿宋"/>
          <w:color w:val="auto"/>
          <w:sz w:val="32"/>
          <w:szCs w:val="32"/>
          <w:highlight w:val="none"/>
          <w:lang w:eastAsia="zh-CN"/>
        </w:rPr>
        <w:t>《</w:t>
      </w:r>
      <w:r>
        <w:rPr>
          <w:rFonts w:hint="eastAsia" w:ascii="仿宋" w:hAnsi="仿宋" w:eastAsia="仿宋" w:cs="仿宋"/>
          <w:color w:val="auto"/>
          <w:kern w:val="0"/>
          <w:sz w:val="32"/>
          <w:szCs w:val="32"/>
          <w:highlight w:val="none"/>
          <w:lang w:val="en-US" w:eastAsia="zh-CN" w:bidi="ar"/>
        </w:rPr>
        <w:t>黄石市国民经济和社会发展第十四个五年</w:t>
      </w:r>
      <w:r>
        <w:rPr>
          <w:rFonts w:hint="default" w:ascii="仿宋" w:hAnsi="仿宋" w:eastAsia="仿宋" w:cs="仿宋"/>
          <w:color w:val="auto"/>
          <w:kern w:val="0"/>
          <w:sz w:val="32"/>
          <w:szCs w:val="32"/>
          <w:highlight w:val="none"/>
          <w:lang w:val="en-US" w:eastAsia="zh-CN" w:bidi="ar"/>
        </w:rPr>
        <w:t>规划和二</w:t>
      </w:r>
      <w:r>
        <w:rPr>
          <w:rFonts w:hint="eastAsia" w:ascii="仿宋" w:hAnsi="仿宋" w:eastAsia="仿宋" w:cs="仿宋"/>
          <w:color w:val="auto"/>
          <w:kern w:val="0"/>
          <w:sz w:val="32"/>
          <w:szCs w:val="32"/>
          <w:highlight w:val="none"/>
          <w:lang w:val="en-US" w:eastAsia="zh-CN" w:bidi="ar"/>
        </w:rPr>
        <w:t>〇</w:t>
      </w:r>
      <w:r>
        <w:rPr>
          <w:rFonts w:hint="default" w:ascii="仿宋" w:hAnsi="仿宋" w:eastAsia="仿宋" w:cs="仿宋"/>
          <w:color w:val="auto"/>
          <w:kern w:val="0"/>
          <w:sz w:val="32"/>
          <w:szCs w:val="32"/>
          <w:highlight w:val="none"/>
          <w:lang w:val="en-US" w:eastAsia="zh-CN" w:bidi="ar"/>
        </w:rPr>
        <w:t>三五年远景目标纲要</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提出：</w:t>
      </w:r>
      <w:r>
        <w:rPr>
          <w:rFonts w:ascii="仿宋" w:hAnsi="仿宋" w:eastAsia="仿宋" w:cs="仿宋"/>
          <w:color w:val="auto"/>
          <w:kern w:val="0"/>
          <w:sz w:val="32"/>
          <w:szCs w:val="32"/>
          <w:highlight w:val="none"/>
          <w:lang w:val="en-US" w:eastAsia="zh-CN" w:bidi="ar"/>
        </w:rPr>
        <w:t>充分发挥市场在资源配置中的决定性作用，推动有效市场和</w:t>
      </w:r>
      <w:r>
        <w:rPr>
          <w:rFonts w:hint="eastAsia" w:ascii="仿宋" w:hAnsi="仿宋" w:eastAsia="仿宋" w:cs="仿宋"/>
          <w:color w:val="auto"/>
          <w:kern w:val="0"/>
          <w:sz w:val="32"/>
          <w:szCs w:val="32"/>
          <w:highlight w:val="none"/>
          <w:lang w:val="en-US" w:eastAsia="zh-CN" w:bidi="ar"/>
        </w:rPr>
        <w:t>有为政府更好结合，构建市场机制有效、微观主体有活力、宏观调控有度的经济体制。</w:t>
      </w:r>
      <w:r>
        <w:rPr>
          <w:rFonts w:ascii="仿宋" w:hAnsi="仿宋" w:eastAsia="仿宋" w:cs="仿宋"/>
          <w:color w:val="auto"/>
          <w:kern w:val="0"/>
          <w:sz w:val="32"/>
          <w:szCs w:val="32"/>
          <w:highlight w:val="none"/>
          <w:lang w:val="en-US" w:eastAsia="zh-CN" w:bidi="ar"/>
        </w:rPr>
        <w:t>深入推进土地、劳动力、资本、技术、数据、价格等要素市</w:t>
      </w:r>
      <w:r>
        <w:rPr>
          <w:rFonts w:hint="eastAsia" w:ascii="仿宋" w:hAnsi="仿宋" w:eastAsia="仿宋" w:cs="仿宋"/>
          <w:color w:val="auto"/>
          <w:kern w:val="0"/>
          <w:sz w:val="32"/>
          <w:szCs w:val="32"/>
          <w:highlight w:val="none"/>
          <w:lang w:val="en-US" w:eastAsia="zh-CN" w:bidi="ar"/>
        </w:rPr>
        <w:t>场化改革，提升市场综合监管能力，完善公平竞争和产权保护制度，建设形成平等准入、公正监管、开放有序、规范守法的市场体系。</w:t>
      </w:r>
      <w:r>
        <w:rPr>
          <w:rFonts w:ascii="仿宋" w:hAnsi="仿宋" w:eastAsia="仿宋" w:cs="仿宋"/>
          <w:color w:val="auto"/>
          <w:kern w:val="0"/>
          <w:sz w:val="32"/>
          <w:szCs w:val="32"/>
          <w:highlight w:val="none"/>
          <w:lang w:val="en-US" w:eastAsia="zh-CN" w:bidi="ar"/>
        </w:rPr>
        <w:t>大力弘扬“有求必应、无事不扰”的店小二精神，围绕破解审</w:t>
      </w:r>
      <w:r>
        <w:rPr>
          <w:rFonts w:hint="eastAsia" w:ascii="仿宋" w:hAnsi="仿宋" w:eastAsia="仿宋" w:cs="仿宋"/>
          <w:color w:val="auto"/>
          <w:kern w:val="0"/>
          <w:sz w:val="32"/>
          <w:szCs w:val="32"/>
          <w:highlight w:val="none"/>
          <w:lang w:val="en-US" w:eastAsia="zh-CN" w:bidi="ar"/>
        </w:rPr>
        <w:t>批办证难、融资贷款难、产业创新难、降低成本难等问题，加快打造市场化、法治化、国际化营商环境，健全完善营商环境评价机制。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2"/>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下陆区市场监督管理局职能配置、内设机构和人员编制规定》（下办文〔2019〕31号）明确了主要职责是：市场综合监督管理、市场主体登记注册、监督管理市场秩序、产品质量监督管理、特种设备安全监督管理、管理全区计量工作、管理全区标准化工作、食品药品安全监督管理综合协调、食品安全监督管理、流通和使用环节药品医疗器戒及化妆品标准管理、执行国家保护商标专利等知识产权法律法规和方针政策、市场监督管理科技和信息化建设及新闻宣传等。</w:t>
      </w:r>
    </w:p>
    <w:p>
      <w:pPr>
        <w:keepNext w:val="0"/>
        <w:keepLines w:val="0"/>
        <w:pageBreakBefore w:val="0"/>
        <w:widowControl/>
        <w:suppressLineNumbers w:val="0"/>
        <w:kinsoku/>
        <w:wordWrap/>
        <w:overflowPunct/>
        <w:topLinePunct w:val="0"/>
        <w:autoSpaceDE/>
        <w:autoSpaceDN/>
        <w:bidi w:val="0"/>
        <w:spacing w:line="560" w:lineRule="exact"/>
        <w:ind w:left="0" w:leftChars="0" w:firstLine="640" w:firstLineChars="200"/>
        <w:jc w:val="both"/>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lang w:eastAsia="zh-CN"/>
        </w:rPr>
        <w:t>项目</w:t>
      </w:r>
      <w:r>
        <w:rPr>
          <w:rFonts w:hint="eastAsia" w:ascii="仿宋" w:hAnsi="仿宋" w:cs="仿宋"/>
          <w:color w:val="auto"/>
          <w:sz w:val="32"/>
          <w:szCs w:val="32"/>
          <w:highlight w:val="none"/>
        </w:rPr>
        <w:t>符合国家法律法规、国民经济发展规划和相关政策，符合行业发展规划和政策要求，与部门职责范围相符且属于公共财政支持范围，无同类项目或部门内部无相关项目重复。</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bCs/>
          <w:color w:val="auto"/>
          <w:sz w:val="32"/>
          <w:szCs w:val="32"/>
          <w:highlight w:val="none"/>
        </w:rPr>
      </w:pPr>
      <w:r>
        <w:rPr>
          <w:rFonts w:hint="eastAsia" w:ascii="仿宋" w:hAnsi="仿宋" w:cs="仿宋"/>
          <w:bCs/>
          <w:color w:val="auto"/>
          <w:sz w:val="32"/>
          <w:szCs w:val="32"/>
          <w:highlight w:val="none"/>
        </w:rPr>
        <w:t>项目按照规定的程序申请设立，提交的文件、材料符合相关要求，事前已经过必要的可行性研究、专家论证、风险评估、集体决策等。</w:t>
      </w:r>
    </w:p>
    <w:p>
      <w:pPr>
        <w:pStyle w:val="23"/>
        <w:pageBreakBefore w:val="0"/>
        <w:kinsoku/>
        <w:wordWrap/>
        <w:overflowPunct/>
        <w:topLinePunct w:val="0"/>
        <w:autoSpaceDE/>
        <w:autoSpaceDN/>
        <w:bidi w:val="0"/>
        <w:spacing w:after="0" w:line="560" w:lineRule="exact"/>
        <w:ind w:left="0" w:leftChars="0" w:firstLine="640" w:firstLineChars="200"/>
        <w:textAlignment w:val="auto"/>
        <w:rPr>
          <w:rFonts w:ascii="仿宋" w:hAnsi="仿宋" w:cs="仿宋"/>
          <w:bCs/>
          <w:color w:val="auto"/>
          <w:sz w:val="32"/>
          <w:szCs w:val="32"/>
          <w:highlight w:val="none"/>
        </w:rPr>
      </w:pPr>
      <w:r>
        <w:rPr>
          <w:rFonts w:hint="eastAsia" w:ascii="仿宋" w:hAnsi="仿宋" w:cs="仿宋"/>
          <w:bCs/>
          <w:color w:val="auto"/>
          <w:sz w:val="32"/>
          <w:szCs w:val="32"/>
          <w:highlight w:val="none"/>
        </w:rPr>
        <w:t>标准分4分，得分</w:t>
      </w:r>
      <w:r>
        <w:rPr>
          <w:rFonts w:hint="eastAsia" w:ascii="仿宋" w:hAnsi="仿宋" w:cs="仿宋"/>
          <w:bCs/>
          <w:color w:val="auto"/>
          <w:sz w:val="32"/>
          <w:szCs w:val="32"/>
          <w:highlight w:val="none"/>
          <w:lang w:val="en-US" w:eastAsia="zh-CN"/>
        </w:rPr>
        <w:t>4</w:t>
      </w:r>
      <w:r>
        <w:rPr>
          <w:rFonts w:hint="eastAsia" w:ascii="仿宋" w:hAnsi="仿宋" w:cs="仿宋"/>
          <w:bCs/>
          <w:color w:val="auto"/>
          <w:sz w:val="32"/>
          <w:szCs w:val="32"/>
          <w:highlight w:val="none"/>
        </w:rPr>
        <w:t>分。</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（2）绩效目标</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评价依据：《项目支出绩效目标申报表（2022年下陆区计生事业专项经费）》。项目设定了总目标和绩效指标，但是目标和指标的设计不符合目标管理规范，如:数量指标“市场监管宣传”的指标值设定为100%。绩效指标量化较差。设定的指标值偏差较大。设定的绩效指标与项目目标任务数或计划数不对应</w:t>
      </w:r>
      <w:r>
        <w:rPr>
          <w:rFonts w:hint="eastAsia" w:cs="仿宋"/>
          <w:color w:val="auto"/>
          <w:sz w:val="32"/>
          <w:szCs w:val="32"/>
          <w:highlight w:val="none"/>
          <w:lang w:eastAsia="zh-CN"/>
        </w:rPr>
        <w:t>。</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color w:val="auto"/>
          <w:highlight w:val="none"/>
          <w:lang w:val="en-US"/>
        </w:rPr>
      </w:pPr>
      <w:r>
        <w:rPr>
          <w:rFonts w:hint="eastAsia" w:cs="仿宋"/>
          <w:color w:val="auto"/>
          <w:sz w:val="32"/>
          <w:szCs w:val="32"/>
          <w:highlight w:val="none"/>
          <w:lang w:val="en-US" w:eastAsia="zh-CN"/>
        </w:rPr>
        <w:t>标准分4分，扣分2分，得分2分</w:t>
      </w:r>
      <w:r>
        <w:rPr>
          <w:rFonts w:hint="eastAsia"/>
          <w:bCs/>
          <w:color w:val="auto"/>
          <w:sz w:val="32"/>
          <w:highlight w:val="none"/>
          <w:lang w:val="en-US"/>
        </w:rPr>
        <w:t>。</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（3）资金投入</w:t>
      </w:r>
    </w:p>
    <w:p>
      <w:pPr>
        <w:pageBreakBefore w:val="0"/>
        <w:kinsoku/>
        <w:wordWrap/>
        <w:overflowPunct/>
        <w:topLinePunct w:val="0"/>
        <w:autoSpaceDE/>
        <w:autoSpaceDN/>
        <w:bidi w:val="0"/>
        <w:spacing w:line="560" w:lineRule="exact"/>
        <w:ind w:left="0" w:leftChars="0" w:firstLine="643" w:firstLineChars="200"/>
        <w:textAlignment w:val="auto"/>
        <w:outlineLvl w:val="2"/>
        <w:rPr>
          <w:rFonts w:ascii="仿宋" w:hAnsi="仿宋" w:cs="仿宋"/>
          <w:bCs/>
          <w:color w:val="auto"/>
          <w:sz w:val="32"/>
          <w:szCs w:val="32"/>
          <w:highlight w:val="none"/>
        </w:rPr>
      </w:pPr>
      <w:r>
        <w:rPr>
          <w:rFonts w:hint="eastAsia" w:ascii="仿宋" w:hAnsi="仿宋" w:cs="仿宋"/>
          <w:b/>
          <w:bCs/>
          <w:color w:val="auto"/>
          <w:sz w:val="32"/>
          <w:szCs w:val="32"/>
          <w:highlight w:val="none"/>
        </w:rPr>
        <w:t>①</w:t>
      </w:r>
      <w:r>
        <w:rPr>
          <w:rFonts w:hint="eastAsia" w:ascii="仿宋" w:hAnsi="仿宋" w:cs="仿宋"/>
          <w:bCs/>
          <w:color w:val="auto"/>
          <w:sz w:val="32"/>
          <w:szCs w:val="32"/>
          <w:highlight w:val="none"/>
        </w:rPr>
        <w:t>预算编制科学性</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cs="仿宋"/>
          <w:color w:val="auto"/>
          <w:sz w:val="32"/>
          <w:szCs w:val="32"/>
          <w:highlight w:val="none"/>
          <w:lang w:val="en-US" w:eastAsia="zh-CN"/>
        </w:rPr>
      </w:pPr>
      <w:bookmarkStart w:id="48" w:name="_Toc434318904"/>
      <w:bookmarkStart w:id="49" w:name="_Toc434318713"/>
      <w:r>
        <w:rPr>
          <w:rFonts w:hint="eastAsia" w:ascii="仿宋" w:hAnsi="仿宋" w:cs="仿宋"/>
          <w:color w:val="auto"/>
          <w:sz w:val="32"/>
          <w:szCs w:val="32"/>
          <w:highlight w:val="none"/>
        </w:rPr>
        <w:t>评价依据：《项目支出绩效目标申报表（2022年下陆区市场管理等专项经费）》。项目预算编制经过科学认证，预算内容（项目支出明细）与项目内容匹配，预算额度测算依据充分，未按照标准编制，预算确定的项目投资额或资金量与工作任务不匹配，</w:t>
      </w:r>
      <w:r>
        <w:rPr>
          <w:rFonts w:hint="eastAsia"/>
          <w:color w:val="auto"/>
          <w:sz w:val="32"/>
          <w:highlight w:val="none"/>
          <w:lang w:val="en-US"/>
        </w:rPr>
        <w:t>未充分考虑上年结余结转</w:t>
      </w:r>
      <w:r>
        <w:rPr>
          <w:rFonts w:hint="eastAsia"/>
          <w:color w:val="auto"/>
          <w:sz w:val="32"/>
          <w:highlight w:val="none"/>
          <w:lang w:val="en-US" w:eastAsia="zh-CN"/>
        </w:rPr>
        <w:t>（2021年药品监管补助资金6万元）</w:t>
      </w:r>
      <w:r>
        <w:rPr>
          <w:rFonts w:hint="eastAsia"/>
          <w:color w:val="auto"/>
          <w:sz w:val="32"/>
          <w:highlight w:val="none"/>
          <w:lang w:val="en-US"/>
        </w:rPr>
        <w:t>和本年上级补助</w:t>
      </w:r>
      <w:r>
        <w:rPr>
          <w:rFonts w:hint="eastAsia"/>
          <w:color w:val="auto"/>
          <w:sz w:val="32"/>
          <w:highlight w:val="none"/>
          <w:lang w:val="en-US" w:eastAsia="zh-CN"/>
        </w:rPr>
        <w:t>（中央补助资金13万元、省级补助资金3万元）</w:t>
      </w:r>
      <w:r>
        <w:rPr>
          <w:rFonts w:hint="eastAsia"/>
          <w:color w:val="auto"/>
          <w:sz w:val="32"/>
          <w:highlight w:val="none"/>
          <w:lang w:val="en-US"/>
        </w:rPr>
        <w:t>资金来源</w:t>
      </w:r>
      <w:r>
        <w:rPr>
          <w:rFonts w:hint="eastAsia" w:ascii="仿宋" w:hAnsi="仿宋" w:cs="仿宋"/>
          <w:color w:val="auto"/>
          <w:sz w:val="32"/>
          <w:szCs w:val="32"/>
          <w:highlight w:val="none"/>
        </w:rPr>
        <w:t>。</w:t>
      </w:r>
      <w:r>
        <w:rPr>
          <w:rFonts w:hint="eastAsia" w:cs="仿宋"/>
          <w:color w:val="auto"/>
          <w:sz w:val="32"/>
          <w:szCs w:val="32"/>
          <w:highlight w:val="none"/>
          <w:lang w:val="en-US" w:eastAsia="zh-CN"/>
        </w:rPr>
        <w:t>如下表（单位：元）：</w:t>
      </w: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34"/>
        <w:gridCol w:w="919"/>
        <w:gridCol w:w="716"/>
        <w:gridCol w:w="920"/>
        <w:gridCol w:w="44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tblHeader/>
        </w:trPr>
        <w:tc>
          <w:tcPr>
            <w:tcW w:w="11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20"/>
                <w:szCs w:val="20"/>
                <w:highlight w:val="none"/>
                <w:u w:val="none"/>
              </w:rPr>
            </w:pPr>
            <w:r>
              <w:rPr>
                <w:rFonts w:ascii="宋体" w:hAnsi="宋体" w:eastAsia="宋体" w:cs="宋体"/>
                <w:b/>
                <w:bCs/>
                <w:i w:val="0"/>
                <w:iCs w:val="0"/>
                <w:color w:val="auto"/>
                <w:kern w:val="0"/>
                <w:sz w:val="20"/>
                <w:szCs w:val="20"/>
                <w:highlight w:val="none"/>
                <w:u w:val="none"/>
                <w:lang w:val="en-US" w:eastAsia="zh-CN" w:bidi="ar"/>
              </w:rPr>
              <w:t>预算项目</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20"/>
                <w:szCs w:val="20"/>
                <w:highlight w:val="none"/>
                <w:u w:val="none"/>
              </w:rPr>
            </w:pPr>
            <w:r>
              <w:rPr>
                <w:rFonts w:ascii="宋体" w:hAnsi="宋体" w:eastAsia="宋体" w:cs="宋体"/>
                <w:b/>
                <w:bCs/>
                <w:i w:val="0"/>
                <w:iCs w:val="0"/>
                <w:color w:val="auto"/>
                <w:kern w:val="0"/>
                <w:sz w:val="20"/>
                <w:szCs w:val="20"/>
                <w:highlight w:val="none"/>
                <w:u w:val="none"/>
                <w:lang w:val="en-US" w:eastAsia="zh-CN" w:bidi="ar"/>
              </w:rPr>
              <w:t>指标下达</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20"/>
                <w:szCs w:val="20"/>
                <w:highlight w:val="none"/>
                <w:u w:val="none"/>
              </w:rPr>
            </w:pPr>
            <w:r>
              <w:rPr>
                <w:rFonts w:ascii="宋体" w:hAnsi="宋体" w:eastAsia="宋体" w:cs="宋体"/>
                <w:b/>
                <w:bCs/>
                <w:i w:val="0"/>
                <w:iCs w:val="0"/>
                <w:color w:val="auto"/>
                <w:kern w:val="0"/>
                <w:sz w:val="20"/>
                <w:szCs w:val="20"/>
                <w:highlight w:val="none"/>
                <w:u w:val="none"/>
                <w:lang w:val="en-US" w:eastAsia="zh-CN" w:bidi="ar"/>
              </w:rPr>
              <w:t>已付金额</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20"/>
                <w:szCs w:val="20"/>
                <w:highlight w:val="none"/>
                <w:u w:val="none"/>
              </w:rPr>
            </w:pPr>
            <w:r>
              <w:rPr>
                <w:rFonts w:ascii="宋体" w:hAnsi="宋体" w:eastAsia="宋体" w:cs="宋体"/>
                <w:b/>
                <w:bCs/>
                <w:i w:val="0"/>
                <w:iCs w:val="0"/>
                <w:color w:val="auto"/>
                <w:kern w:val="0"/>
                <w:sz w:val="20"/>
                <w:szCs w:val="20"/>
                <w:highlight w:val="none"/>
                <w:u w:val="none"/>
                <w:lang w:val="en-US" w:eastAsia="zh-CN" w:bidi="ar"/>
              </w:rPr>
              <w:t>剩余指标</w:t>
            </w:r>
          </w:p>
        </w:tc>
        <w:tc>
          <w:tcPr>
            <w:tcW w:w="24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auto"/>
                <w:sz w:val="20"/>
                <w:szCs w:val="20"/>
                <w:highlight w:val="none"/>
                <w:u w:val="none"/>
              </w:rPr>
            </w:pPr>
            <w:r>
              <w:rPr>
                <w:rFonts w:ascii="宋体" w:hAnsi="宋体" w:eastAsia="宋体" w:cs="宋体"/>
                <w:b/>
                <w:bCs/>
                <w:i w:val="0"/>
                <w:iCs w:val="0"/>
                <w:color w:val="auto"/>
                <w:kern w:val="0"/>
                <w:sz w:val="20"/>
                <w:szCs w:val="20"/>
                <w:highlight w:val="none"/>
                <w:u w:val="none"/>
                <w:lang w:val="en-US" w:eastAsia="zh-CN" w:bidi="ar"/>
              </w:rPr>
              <w:t>指标用途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1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2022年市场监督管理专项补助经费</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 xml:space="preserve">30000 </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 xml:space="preserve">0 </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 xml:space="preserve">30000 </w:t>
            </w:r>
          </w:p>
        </w:tc>
        <w:tc>
          <w:tcPr>
            <w:tcW w:w="24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省财政厅关于下达2022年市场监督管理专项补助经费的通知（黄财行发[2022]156号）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1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2022年药品监管补助资金</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 xml:space="preserve">130000 </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 xml:space="preserve">0 </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 xml:space="preserve">130000 </w:t>
            </w:r>
          </w:p>
        </w:tc>
        <w:tc>
          <w:tcPr>
            <w:tcW w:w="24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关于提前下达2022年药品监管补助资金的通知(黄财行发[2022]44号)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1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上级转移支付资金</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 xml:space="preserve">60000 </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 xml:space="preserve">0 </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 xml:space="preserve">60000 </w:t>
            </w:r>
          </w:p>
        </w:tc>
        <w:tc>
          <w:tcPr>
            <w:tcW w:w="24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auto"/>
                <w:sz w:val="20"/>
                <w:szCs w:val="20"/>
                <w:highlight w:val="none"/>
                <w:u w:val="none"/>
              </w:rPr>
            </w:pPr>
            <w:r>
              <w:rPr>
                <w:rFonts w:ascii="宋体" w:hAnsi="宋体" w:eastAsia="宋体" w:cs="宋体"/>
                <w:i w:val="0"/>
                <w:iCs w:val="0"/>
                <w:color w:val="auto"/>
                <w:kern w:val="0"/>
                <w:sz w:val="20"/>
                <w:szCs w:val="20"/>
                <w:highlight w:val="none"/>
                <w:u w:val="none"/>
                <w:lang w:val="en-US" w:eastAsia="zh-CN" w:bidi="ar"/>
              </w:rPr>
              <w:t>2021年药品监管补助资金(黄财行发[2021]95号)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1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合  计</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 xml:space="preserve">220000 </w:t>
            </w:r>
          </w:p>
        </w:tc>
        <w:tc>
          <w:tcPr>
            <w:tcW w:w="3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 xml:space="preserve">0 </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 xml:space="preserve">220000 </w:t>
            </w:r>
          </w:p>
        </w:tc>
        <w:tc>
          <w:tcPr>
            <w:tcW w:w="2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highlight w:val="none"/>
                <w:u w:val="none"/>
              </w:rPr>
            </w:pPr>
          </w:p>
        </w:tc>
      </w:tr>
    </w:tbl>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color w:val="auto"/>
          <w:highlight w:val="none"/>
          <w:lang w:val="en-US"/>
        </w:rPr>
      </w:pPr>
      <w:r>
        <w:rPr>
          <w:rFonts w:hint="eastAsia" w:ascii="仿宋" w:hAnsi="仿宋" w:cs="仿宋"/>
          <w:color w:val="auto"/>
          <w:sz w:val="32"/>
          <w:szCs w:val="32"/>
          <w:highlight w:val="none"/>
        </w:rPr>
        <w:t>标准分2分，扣分</w:t>
      </w:r>
      <w:r>
        <w:rPr>
          <w:rFonts w:hint="eastAsia" w:cs="仿宋"/>
          <w:color w:val="auto"/>
          <w:sz w:val="32"/>
          <w:szCs w:val="32"/>
          <w:highlight w:val="none"/>
          <w:lang w:val="en-US" w:eastAsia="zh-CN"/>
        </w:rPr>
        <w:t>1</w:t>
      </w:r>
      <w:r>
        <w:rPr>
          <w:rFonts w:hint="eastAsia" w:ascii="仿宋" w:hAnsi="仿宋" w:cs="仿宋"/>
          <w:color w:val="auto"/>
          <w:sz w:val="32"/>
          <w:szCs w:val="32"/>
          <w:highlight w:val="none"/>
        </w:rPr>
        <w:t>分，得分</w:t>
      </w:r>
      <w:r>
        <w:rPr>
          <w:rFonts w:hint="eastAsia" w:cs="仿宋"/>
          <w:color w:val="auto"/>
          <w:sz w:val="32"/>
          <w:szCs w:val="32"/>
          <w:highlight w:val="none"/>
          <w:lang w:val="en-US" w:eastAsia="zh-CN"/>
        </w:rPr>
        <w:t>1</w:t>
      </w:r>
      <w:r>
        <w:rPr>
          <w:rFonts w:hint="eastAsia" w:ascii="仿宋" w:hAnsi="仿宋" w:cs="仿宋"/>
          <w:color w:val="auto"/>
          <w:sz w:val="32"/>
          <w:szCs w:val="32"/>
          <w:highlight w:val="none"/>
        </w:rPr>
        <w:t>分。</w:t>
      </w:r>
    </w:p>
    <w:bookmarkEnd w:id="48"/>
    <w:bookmarkEnd w:id="49"/>
    <w:p>
      <w:pPr>
        <w:pageBreakBefore w:val="0"/>
        <w:kinsoku/>
        <w:wordWrap/>
        <w:overflowPunct/>
        <w:topLinePunct w:val="0"/>
        <w:autoSpaceDE/>
        <w:autoSpaceDN/>
        <w:bidi w:val="0"/>
        <w:spacing w:line="560" w:lineRule="exact"/>
        <w:ind w:left="0" w:leftChars="0" w:firstLine="643" w:firstLineChars="200"/>
        <w:textAlignment w:val="auto"/>
        <w:outlineLvl w:val="2"/>
        <w:rPr>
          <w:rFonts w:ascii="仿宋" w:hAnsi="仿宋" w:cs="仿宋"/>
          <w:color w:val="auto"/>
          <w:sz w:val="32"/>
          <w:szCs w:val="32"/>
          <w:highlight w:val="none"/>
        </w:rPr>
      </w:pPr>
      <w:r>
        <w:rPr>
          <w:rFonts w:hint="eastAsia" w:ascii="仿宋" w:hAnsi="仿宋" w:cs="仿宋"/>
          <w:b/>
          <w:bCs/>
          <w:color w:val="auto"/>
          <w:sz w:val="32"/>
          <w:szCs w:val="32"/>
          <w:highlight w:val="none"/>
        </w:rPr>
        <w:t>②</w:t>
      </w:r>
      <w:r>
        <w:rPr>
          <w:rFonts w:hint="eastAsia" w:ascii="仿宋" w:hAnsi="仿宋" w:cs="仿宋"/>
          <w:color w:val="auto"/>
          <w:sz w:val="32"/>
          <w:szCs w:val="32"/>
          <w:highlight w:val="none"/>
        </w:rPr>
        <w:t>资金分配合理性</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评价依据：《项目支出绩效目标申报表（2022年下陆区市场管理等专项经费）》。项目预算编制经过科学认证，预算内容（项目支出明细）与项目内容匹配，预算额度测算依据充分，未充分考虑上年结余结转和本年上级补助资金来源。预算资金分配依据充分，资金分配额度不合理，与项目单位或地方实际不适应。</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标准分2分，扣分1分，得分1分。</w:t>
      </w:r>
    </w:p>
    <w:p>
      <w:pPr>
        <w:pStyle w:val="14"/>
        <w:pageBreakBefore w:val="0"/>
        <w:kinsoku/>
        <w:wordWrap/>
        <w:overflowPunct/>
        <w:topLinePunct w:val="0"/>
        <w:autoSpaceDE/>
        <w:autoSpaceDN/>
        <w:bidi w:val="0"/>
        <w:spacing w:line="560" w:lineRule="exact"/>
        <w:ind w:left="0" w:leftChars="0" w:firstLine="643" w:firstLineChars="200"/>
        <w:textAlignment w:val="auto"/>
        <w:rPr>
          <w:b/>
          <w:bCs/>
          <w:color w:val="auto"/>
          <w:sz w:val="32"/>
          <w:highlight w:val="none"/>
        </w:rPr>
      </w:pPr>
      <w:r>
        <w:rPr>
          <w:rFonts w:hint="eastAsia"/>
          <w:b/>
          <w:bCs/>
          <w:color w:val="auto"/>
          <w:sz w:val="32"/>
          <w:highlight w:val="none"/>
        </w:rPr>
        <w:t>2、项目过程情况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绩效评价人员从资金管理、组织实施两个方面对项目的过程情况进行了分析：</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lang w:eastAsia="zh-CN"/>
        </w:rPr>
        <w:t>（</w:t>
      </w:r>
      <w:r>
        <w:rPr>
          <w:rFonts w:hint="eastAsia" w:ascii="仿宋" w:hAnsi="仿宋" w:cs="仿宋"/>
          <w:b/>
          <w:bCs/>
          <w:color w:val="auto"/>
          <w:sz w:val="32"/>
          <w:szCs w:val="32"/>
          <w:highlight w:val="none"/>
          <w:lang w:val="en-US" w:eastAsia="zh-CN"/>
        </w:rPr>
        <w:t>1</w:t>
      </w:r>
      <w:r>
        <w:rPr>
          <w:rFonts w:hint="eastAsia" w:ascii="仿宋" w:hAnsi="仿宋" w:cs="仿宋"/>
          <w:b/>
          <w:bCs/>
          <w:color w:val="auto"/>
          <w:sz w:val="32"/>
          <w:szCs w:val="32"/>
          <w:highlight w:val="none"/>
          <w:lang w:eastAsia="zh-CN"/>
        </w:rPr>
        <w:t>）</w:t>
      </w:r>
      <w:r>
        <w:rPr>
          <w:rFonts w:hint="eastAsia" w:ascii="仿宋" w:hAnsi="仿宋" w:cs="仿宋"/>
          <w:b/>
          <w:bCs/>
          <w:color w:val="auto"/>
          <w:sz w:val="32"/>
          <w:szCs w:val="32"/>
          <w:highlight w:val="none"/>
        </w:rPr>
        <w:t>资金管理</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6"/>
          <w:szCs w:val="36"/>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1 \* GB3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①</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资金到位率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kern w:val="0"/>
          <w:sz w:val="32"/>
          <w:szCs w:val="32"/>
          <w:highlight w:val="none"/>
          <w:lang w:eastAsia="zh-CN"/>
        </w:rPr>
      </w:pPr>
      <w:r>
        <w:rPr>
          <w:rFonts w:hint="eastAsia" w:ascii="仿宋" w:hAnsi="仿宋" w:cs="仿宋"/>
          <w:color w:val="auto"/>
          <w:kern w:val="0"/>
          <w:sz w:val="32"/>
          <w:szCs w:val="32"/>
          <w:highlight w:val="none"/>
          <w:lang w:eastAsia="zh-CN"/>
        </w:rPr>
        <w:t>评价依据：《下陆区财政局关于批复2022年区直部门预算的通知》（黄下财预发〔2021〕3号）、预算一体化系统的指标查询。下陆区2022年市场管理等专项经费预算安排135.00万元，实际到位资金135.00万元（其中：登记注册、工商行政审批20万元；食品药品专项经费40万元；市场管理专项经费15万元；特种设备、质量安全专项经费20万元；知识产权专项经费40万元），资金到位率100%。</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kern w:val="0"/>
          <w:sz w:val="32"/>
          <w:szCs w:val="32"/>
          <w:highlight w:val="none"/>
          <w:lang w:eastAsia="zh-CN"/>
        </w:rPr>
      </w:pPr>
      <w:r>
        <w:rPr>
          <w:rFonts w:hint="eastAsia" w:ascii="仿宋" w:hAnsi="仿宋" w:cs="仿宋"/>
          <w:color w:val="auto"/>
          <w:kern w:val="0"/>
          <w:sz w:val="32"/>
          <w:szCs w:val="32"/>
          <w:highlight w:val="none"/>
          <w:lang w:eastAsia="zh-CN"/>
        </w:rPr>
        <w:t>标准分4分，得分4分。</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预算执行率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kern w:val="0"/>
          <w:sz w:val="32"/>
          <w:szCs w:val="32"/>
          <w:highlight w:val="none"/>
          <w:lang w:eastAsia="zh-CN"/>
        </w:rPr>
      </w:pPr>
      <w:r>
        <w:rPr>
          <w:rFonts w:hint="eastAsia" w:ascii="仿宋" w:hAnsi="仿宋" w:cs="仿宋"/>
          <w:color w:val="auto"/>
          <w:kern w:val="0"/>
          <w:sz w:val="32"/>
          <w:szCs w:val="32"/>
          <w:highlight w:val="none"/>
          <w:lang w:eastAsia="zh-CN"/>
        </w:rPr>
        <w:t>评价依据：预算一体化系统的指标执行查询。预算资金实际到位135.00万元，实际支出106.69万元（其中：登记注册、工商行政审批20万元；食品药品专项经费40万元；市场管理专项经费10.69万元；特种设备、质量安全专项经费20万元；知识产权专项经费16万元）。</w:t>
      </w:r>
      <w:r>
        <w:rPr>
          <w:rFonts w:hint="eastAsia" w:ascii="仿宋" w:hAnsi="仿宋" w:cs="仿宋"/>
          <w:color w:val="auto"/>
          <w:kern w:val="0"/>
          <w:sz w:val="32"/>
          <w:szCs w:val="32"/>
          <w:highlight w:val="none"/>
          <w:lang w:val="en-US" w:eastAsia="zh-CN"/>
        </w:rPr>
        <w:t>实际</w:t>
      </w:r>
      <w:r>
        <w:rPr>
          <w:rFonts w:hint="eastAsia" w:ascii="仿宋" w:hAnsi="仿宋" w:cs="仿宋"/>
          <w:color w:val="auto"/>
          <w:kern w:val="0"/>
          <w:sz w:val="32"/>
          <w:szCs w:val="32"/>
          <w:highlight w:val="none"/>
          <w:lang w:eastAsia="zh-CN"/>
        </w:rPr>
        <w:t>预算执行率79.03%，预算执行率偏低的主要原因：知识产权专项经费预算执行率仅40%。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kern w:val="0"/>
          <w:sz w:val="32"/>
          <w:szCs w:val="32"/>
          <w:highlight w:val="none"/>
          <w:lang w:eastAsia="zh-CN"/>
        </w:rPr>
        <w:t>标准分5分，扣分1.05分，得分3.95分</w:t>
      </w:r>
      <w:r>
        <w:rPr>
          <w:rFonts w:hint="eastAsia" w:ascii="仿宋" w:hAnsi="仿宋" w:cs="仿宋"/>
          <w:color w:val="auto"/>
          <w:sz w:val="32"/>
          <w:szCs w:val="32"/>
          <w:highlight w:val="none"/>
        </w:rPr>
        <w:t>。</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3 \* GB3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③</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资金使用合规性</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检查资金使用情况，我们认为：资金使用基本符合国家财经法规和财务管理制度以及有关专项资金管理办法的规定，资金的拨付有完整的审批程序和手续，资金使用符合项目预算批复或合同规定的用途，但存在在“2022年市场管理专项经费”中列支慈善捐款1000元，用于弥补公用经费不足。</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color w:val="auto"/>
          <w:highlight w:val="none"/>
        </w:rPr>
      </w:pPr>
      <w:r>
        <w:rPr>
          <w:rFonts w:hint="eastAsia" w:ascii="仿宋" w:hAnsi="仿宋" w:cs="仿宋"/>
          <w:color w:val="auto"/>
          <w:sz w:val="32"/>
          <w:szCs w:val="32"/>
          <w:highlight w:val="none"/>
          <w:lang w:eastAsia="zh-CN"/>
        </w:rPr>
        <w:t>标准分8分，扣分2分，得分6分</w:t>
      </w:r>
      <w:r>
        <w:rPr>
          <w:rFonts w:hint="eastAsia" w:ascii="仿宋" w:hAnsi="仿宋" w:cs="仿宋"/>
          <w:color w:val="auto"/>
          <w:sz w:val="32"/>
          <w:szCs w:val="32"/>
          <w:highlight w:val="none"/>
        </w:rPr>
        <w:t>。</w:t>
      </w:r>
    </w:p>
    <w:p>
      <w:pPr>
        <w:pageBreakBefore w:val="0"/>
        <w:widowControl/>
        <w:kinsoku/>
        <w:wordWrap/>
        <w:overflowPunct/>
        <w:topLinePunct w:val="0"/>
        <w:autoSpaceDE/>
        <w:autoSpaceDN/>
        <w:bidi w:val="0"/>
        <w:spacing w:line="560" w:lineRule="exact"/>
        <w:ind w:left="0" w:leftChars="0" w:firstLine="643" w:firstLineChars="200"/>
        <w:jc w:val="left"/>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w:t>
      </w:r>
      <w:r>
        <w:rPr>
          <w:rFonts w:hint="eastAsia" w:ascii="仿宋" w:hAnsi="仿宋" w:cs="仿宋"/>
          <w:b/>
          <w:color w:val="auto"/>
          <w:sz w:val="32"/>
          <w:szCs w:val="32"/>
          <w:highlight w:val="none"/>
        </w:rPr>
        <w:t>组织实施</w:t>
      </w:r>
    </w:p>
    <w:p>
      <w:pPr>
        <w:pageBreakBefore w:val="0"/>
        <w:tabs>
          <w:tab w:val="left" w:pos="1343"/>
        </w:tabs>
        <w:kinsoku/>
        <w:wordWrap/>
        <w:overflowPunct/>
        <w:topLinePunct w:val="0"/>
        <w:autoSpaceDE/>
        <w:autoSpaceDN/>
        <w:bidi w:val="0"/>
        <w:spacing w:line="560" w:lineRule="exact"/>
        <w:ind w:left="0" w:leftChars="0" w:firstLine="640" w:firstLineChars="200"/>
        <w:jc w:val="left"/>
        <w:textAlignment w:val="auto"/>
        <w:rPr>
          <w:rFonts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1 \* GB3 \* MERGEFORMAT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①</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管理制度健全性</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left"/>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项目已制定或具有相应的财务和业务管理制度，项目管理制度合法、合规、完整，基本有效。</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left"/>
        <w:textAlignment w:val="auto"/>
        <w:rPr>
          <w:rFonts w:ascii="仿宋" w:hAnsi="仿宋" w:cs="仿宋"/>
          <w:color w:val="auto"/>
          <w:sz w:val="32"/>
          <w:szCs w:val="32"/>
          <w:highlight w:val="none"/>
        </w:rPr>
      </w:pPr>
      <w:r>
        <w:rPr>
          <w:rFonts w:hint="eastAsia" w:ascii="仿宋" w:hAnsi="仿宋" w:cs="仿宋"/>
          <w:color w:val="auto"/>
          <w:sz w:val="32"/>
          <w:szCs w:val="32"/>
          <w:highlight w:val="none"/>
          <w:lang w:eastAsia="zh-CN"/>
        </w:rPr>
        <w:t>标准分2分，得分2分</w:t>
      </w:r>
      <w:r>
        <w:rPr>
          <w:rFonts w:hint="eastAsia" w:ascii="仿宋" w:hAnsi="仿宋" w:cs="仿宋"/>
          <w:color w:val="auto"/>
          <w:sz w:val="32"/>
          <w:szCs w:val="32"/>
          <w:highlight w:val="none"/>
        </w:rPr>
        <w:t>。</w:t>
      </w:r>
    </w:p>
    <w:p>
      <w:pPr>
        <w:pStyle w:val="23"/>
        <w:pageBreakBefore w:val="0"/>
        <w:kinsoku/>
        <w:wordWrap/>
        <w:overflowPunct/>
        <w:topLinePunct w:val="0"/>
        <w:autoSpaceDE/>
        <w:autoSpaceDN/>
        <w:bidi w:val="0"/>
        <w:spacing w:after="0" w:line="560" w:lineRule="exact"/>
        <w:ind w:left="0" w:leftChars="0" w:firstLine="640" w:firstLineChars="200"/>
        <w:jc w:val="left"/>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 MERGEFORMAT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制度执行有效性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实施遵守相关法律法规和项目管理规定，严格执行项目管理程序及招投标制、监理制、合同制、项目公示制、政府采购等。项目合同书、验收报告、技术鉴定等资料基本齐全并及时归档。项目实施的人员条件、场地设备、信息支撑等基本落实到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标准分4分，得分4分。</w:t>
      </w:r>
    </w:p>
    <w:p>
      <w:pPr>
        <w:pStyle w:val="2"/>
        <w:pageBreakBefore w:val="0"/>
        <w:tabs>
          <w:tab w:val="left" w:pos="1343"/>
        </w:tabs>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绩效评价人员从产出数量、产出质量、产出时效</w:t>
      </w:r>
      <w:r>
        <w:rPr>
          <w:rFonts w:hint="eastAsia" w:ascii="仿宋" w:hAnsi="仿宋" w:cs="仿宋"/>
          <w:color w:val="auto"/>
          <w:sz w:val="32"/>
          <w:szCs w:val="32"/>
          <w:highlight w:val="none"/>
          <w:lang w:val="en-US" w:eastAsia="zh-CN"/>
        </w:rPr>
        <w:t>3</w:t>
      </w:r>
      <w:r>
        <w:rPr>
          <w:rFonts w:hint="eastAsia" w:ascii="仿宋" w:hAnsi="仿宋" w:cs="仿宋"/>
          <w:color w:val="auto"/>
          <w:sz w:val="32"/>
          <w:szCs w:val="32"/>
          <w:highlight w:val="none"/>
        </w:rPr>
        <w:t>个方面对项目的产出情况进行了分析、考评，具体如下：</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color w:val="auto"/>
          <w:sz w:val="32"/>
          <w:szCs w:val="32"/>
          <w:highlight w:val="none"/>
          <w:lang w:eastAsia="zh-CN"/>
        </w:rPr>
      </w:pPr>
      <w:r>
        <w:rPr>
          <w:rFonts w:hint="eastAsia" w:ascii="仿宋" w:hAnsi="仿宋" w:cs="仿宋"/>
          <w:b/>
          <w:bCs/>
          <w:color w:val="auto"/>
          <w:sz w:val="32"/>
          <w:szCs w:val="32"/>
          <w:highlight w:val="none"/>
        </w:rPr>
        <w:t>（1）</w:t>
      </w:r>
      <w:r>
        <w:rPr>
          <w:rFonts w:hint="eastAsia" w:ascii="仿宋" w:hAnsi="仿宋" w:cs="仿宋"/>
          <w:b/>
          <w:bCs/>
          <w:color w:val="auto"/>
          <w:sz w:val="32"/>
          <w:szCs w:val="32"/>
          <w:highlight w:val="none"/>
          <w:lang w:eastAsia="zh-CN"/>
        </w:rPr>
        <w:t>产出数量</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fldChar w:fldCharType="begin"/>
      </w:r>
      <w:r>
        <w:rPr>
          <w:rFonts w:hint="eastAsia" w:ascii="仿宋" w:hAnsi="仿宋" w:cs="仿宋"/>
          <w:b/>
          <w:bCs/>
          <w:color w:val="auto"/>
          <w:sz w:val="32"/>
          <w:szCs w:val="32"/>
          <w:highlight w:val="none"/>
        </w:rPr>
        <w:instrText xml:space="preserve"> = 1 \* GB3 \* MERGEFORMAT </w:instrText>
      </w:r>
      <w:r>
        <w:rPr>
          <w:rFonts w:hint="eastAsia" w:ascii="仿宋" w:hAnsi="仿宋" w:cs="仿宋"/>
          <w:b/>
          <w:bCs/>
          <w:color w:val="auto"/>
          <w:sz w:val="32"/>
          <w:szCs w:val="32"/>
          <w:highlight w:val="none"/>
        </w:rPr>
        <w:fldChar w:fldCharType="separate"/>
      </w:r>
      <w:r>
        <w:rPr>
          <w:color w:val="auto"/>
          <w:highlight w:val="none"/>
        </w:rPr>
        <w:t>①</w:t>
      </w:r>
      <w:r>
        <w:rPr>
          <w:rFonts w:hint="eastAsia" w:ascii="仿宋" w:hAnsi="仿宋" w:cs="仿宋"/>
          <w:b/>
          <w:bCs/>
          <w:color w:val="auto"/>
          <w:sz w:val="32"/>
          <w:szCs w:val="32"/>
          <w:highlight w:val="none"/>
        </w:rPr>
        <w:fldChar w:fldCharType="end"/>
      </w:r>
      <w:r>
        <w:rPr>
          <w:rFonts w:hint="eastAsia" w:ascii="仿宋" w:hAnsi="仿宋" w:cs="仿宋"/>
          <w:b/>
          <w:bCs/>
          <w:color w:val="auto"/>
          <w:sz w:val="32"/>
          <w:szCs w:val="32"/>
          <w:highlight w:val="none"/>
        </w:rPr>
        <w:t>“双随机</w:t>
      </w:r>
      <w:r>
        <w:rPr>
          <w:rFonts w:hint="eastAsia" w:ascii="仿宋" w:hAnsi="仿宋" w:cs="仿宋"/>
          <w:b/>
          <w:bCs/>
          <w:color w:val="auto"/>
          <w:sz w:val="32"/>
          <w:szCs w:val="32"/>
          <w:highlight w:val="none"/>
          <w:lang w:eastAsia="zh-CN"/>
        </w:rPr>
        <w:t>、</w:t>
      </w:r>
      <w:r>
        <w:rPr>
          <w:rFonts w:hint="eastAsia" w:ascii="仿宋" w:hAnsi="仿宋" w:cs="仿宋"/>
          <w:b/>
          <w:bCs/>
          <w:color w:val="auto"/>
          <w:sz w:val="32"/>
          <w:szCs w:val="32"/>
          <w:highlight w:val="none"/>
        </w:rPr>
        <w:t>一公开”检查批次实际完成率</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“双随机</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一公开”计划检查批次50次，实际完成50次（其中：部门联合双随机任务48次）</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实际完成率100%</w:t>
      </w:r>
      <w:r>
        <w:rPr>
          <w:rFonts w:hint="eastAsia" w:ascii="仿宋" w:hAnsi="仿宋" w:cs="仿宋"/>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 MERGEFORMAT </w:instrText>
      </w:r>
      <w:r>
        <w:rPr>
          <w:rFonts w:hint="eastAsia" w:ascii="仿宋" w:hAnsi="仿宋" w:cs="仿宋"/>
          <w:color w:val="auto"/>
          <w:sz w:val="32"/>
          <w:szCs w:val="32"/>
          <w:highlight w:val="none"/>
        </w:rPr>
        <w:fldChar w:fldCharType="separate"/>
      </w:r>
      <w:r>
        <w:rPr>
          <w:color w:val="auto"/>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知识产权资助实际完成率</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知识产权资助计划20件，实际完成资助4件（数据来源：预算一体化中“支付明细查询”）</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实际完成率20%</w:t>
      </w:r>
      <w:r>
        <w:rPr>
          <w:rFonts w:hint="eastAsia" w:ascii="仿宋" w:hAnsi="仿宋" w:cs="仿宋"/>
          <w:color w:val="auto"/>
          <w:sz w:val="32"/>
          <w:szCs w:val="32"/>
          <w:highlight w:val="none"/>
          <w:lang w:eastAsia="zh-CN"/>
        </w:rPr>
        <w:t>。</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标准分5分，扣分4分，得分1分。</w:t>
      </w:r>
    </w:p>
    <w:p>
      <w:pPr>
        <w:pageBreakBefore w:val="0"/>
        <w:kinsoku/>
        <w:wordWrap/>
        <w:overflowPunct/>
        <w:topLinePunct w:val="0"/>
        <w:autoSpaceDE/>
        <w:autoSpaceDN/>
        <w:bidi w:val="0"/>
        <w:spacing w:line="560" w:lineRule="exact"/>
        <w:ind w:left="0" w:leftChars="0" w:firstLine="643" w:firstLineChars="200"/>
        <w:textAlignment w:val="auto"/>
        <w:rPr>
          <w:rFonts w:hint="eastAsia" w:ascii="仿宋" w:hAnsi="仿宋" w:eastAsia="仿宋" w:cs="仿宋"/>
          <w:b/>
          <w:bCs/>
          <w:color w:val="auto"/>
          <w:sz w:val="32"/>
          <w:szCs w:val="32"/>
          <w:highlight w:val="none"/>
          <w:lang w:eastAsia="zh-CN"/>
        </w:rPr>
      </w:pPr>
      <w:r>
        <w:rPr>
          <w:rFonts w:hint="eastAsia" w:ascii="仿宋" w:hAnsi="仿宋" w:cs="仿宋"/>
          <w:b/>
          <w:bCs/>
          <w:color w:val="auto"/>
          <w:sz w:val="32"/>
          <w:szCs w:val="32"/>
          <w:highlight w:val="none"/>
        </w:rPr>
        <w:t>（2）</w:t>
      </w:r>
      <w:r>
        <w:rPr>
          <w:rFonts w:hint="eastAsia" w:ascii="仿宋" w:hAnsi="仿宋" w:cs="仿宋"/>
          <w:b/>
          <w:bCs/>
          <w:color w:val="auto"/>
          <w:sz w:val="32"/>
          <w:szCs w:val="32"/>
          <w:highlight w:val="none"/>
          <w:lang w:eastAsia="zh-CN"/>
        </w:rPr>
        <w:t>产出质量</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fldChar w:fldCharType="begin"/>
      </w:r>
      <w:r>
        <w:rPr>
          <w:rFonts w:hint="eastAsia" w:ascii="仿宋" w:hAnsi="仿宋" w:cs="仿宋"/>
          <w:b/>
          <w:bCs/>
          <w:color w:val="auto"/>
          <w:sz w:val="32"/>
          <w:szCs w:val="32"/>
          <w:highlight w:val="none"/>
        </w:rPr>
        <w:instrText xml:space="preserve"> = 1 \* GB3 \* MERGEFORMAT </w:instrText>
      </w:r>
      <w:r>
        <w:rPr>
          <w:rFonts w:hint="eastAsia" w:ascii="仿宋" w:hAnsi="仿宋" w:cs="仿宋"/>
          <w:b/>
          <w:bCs/>
          <w:color w:val="auto"/>
          <w:sz w:val="32"/>
          <w:szCs w:val="32"/>
          <w:highlight w:val="none"/>
        </w:rPr>
        <w:fldChar w:fldCharType="separate"/>
      </w:r>
      <w:r>
        <w:rPr>
          <w:color w:val="auto"/>
          <w:highlight w:val="none"/>
        </w:rPr>
        <w:t>①</w:t>
      </w:r>
      <w:r>
        <w:rPr>
          <w:rFonts w:hint="eastAsia" w:ascii="仿宋" w:hAnsi="仿宋" w:cs="仿宋"/>
          <w:b/>
          <w:bCs/>
          <w:color w:val="auto"/>
          <w:sz w:val="32"/>
          <w:szCs w:val="32"/>
          <w:highlight w:val="none"/>
        </w:rPr>
        <w:fldChar w:fldCharType="end"/>
      </w:r>
      <w:r>
        <w:rPr>
          <w:rFonts w:hint="eastAsia" w:ascii="仿宋" w:hAnsi="仿宋" w:cs="仿宋"/>
          <w:b/>
          <w:bCs/>
          <w:color w:val="auto"/>
          <w:sz w:val="32"/>
          <w:szCs w:val="32"/>
          <w:highlight w:val="none"/>
        </w:rPr>
        <w:t>食品抽检实际达标率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食品抽检合格率计划97%以上</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实际抽检合格率98%，完成目标值。</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 MERGEFORMAT </w:instrText>
      </w:r>
      <w:r>
        <w:rPr>
          <w:rFonts w:hint="eastAsia" w:ascii="仿宋" w:hAnsi="仿宋" w:cs="仿宋"/>
          <w:color w:val="auto"/>
          <w:sz w:val="32"/>
          <w:szCs w:val="32"/>
          <w:highlight w:val="none"/>
        </w:rPr>
        <w:fldChar w:fldCharType="separate"/>
      </w:r>
      <w:r>
        <w:rPr>
          <w:color w:val="auto"/>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监督检查公示实际达标率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监督检查计划公示率100%</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实际公示率100%，完成目标值。</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adjustRightInd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（3）工作完成及时率</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lang w:eastAsia="zh-CN"/>
        </w:rPr>
        <w:t>《下陆区市场监督管理局职能配置、内设机构和人员编制规定》（下办文〔2019〕31号）规定的市场综合监督管理、市场主体登记注册、监督管理市场秩序、产品质量监督管理、特种设备安全监督管理、管理全区计量工作、管理全区标准化工作、食品药品安全监督管理综合协调、食品安全监督管理、流通和使用环节药品医疗器戒及化妆品标准管理、执行国家保护商标专利等知识产权法律法规和方针政策、市场监督管理科技和信息化建设及新闻宣传等，在2022年全部完成，工作完成及时率100%。</w:t>
      </w:r>
    </w:p>
    <w:p>
      <w:pPr>
        <w:pageBreakBefore w:val="0"/>
        <w:kinsoku/>
        <w:wordWrap/>
        <w:overflowPunct/>
        <w:topLinePunct w:val="0"/>
        <w:autoSpaceDE/>
        <w:autoSpaceDN/>
        <w:bidi w:val="0"/>
        <w:adjustRightInd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w:t>
      </w:r>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color w:val="auto"/>
          <w:sz w:val="32"/>
          <w:szCs w:val="32"/>
          <w:highlight w:val="none"/>
        </w:rPr>
      </w:pPr>
      <w:r>
        <w:rPr>
          <w:rFonts w:hint="eastAsia" w:ascii="仿宋" w:hAnsi="仿宋" w:cs="仿宋"/>
          <w:b/>
          <w:color w:val="auto"/>
          <w:sz w:val="32"/>
          <w:szCs w:val="32"/>
          <w:highlight w:val="none"/>
        </w:rPr>
        <w:t>4.项目效</w:t>
      </w:r>
      <w:r>
        <w:rPr>
          <w:rFonts w:hint="eastAsia" w:ascii="仿宋" w:hAnsi="仿宋" w:cs="仿宋"/>
          <w:b/>
          <w:color w:val="auto"/>
          <w:sz w:val="32"/>
          <w:szCs w:val="32"/>
          <w:highlight w:val="none"/>
          <w:lang w:eastAsia="zh-CN"/>
        </w:rPr>
        <w:t>果</w:t>
      </w:r>
      <w:r>
        <w:rPr>
          <w:rFonts w:hint="eastAsia" w:ascii="仿宋" w:hAnsi="仿宋" w:cs="仿宋"/>
          <w:b/>
          <w:color w:val="auto"/>
          <w:sz w:val="32"/>
          <w:szCs w:val="32"/>
          <w:highlight w:val="none"/>
        </w:rPr>
        <w:t>情况</w:t>
      </w:r>
    </w:p>
    <w:p>
      <w:pPr>
        <w:pStyle w:val="14"/>
        <w:pageBreakBefore w:val="0"/>
        <w:kinsoku/>
        <w:wordWrap/>
        <w:overflowPunct/>
        <w:topLinePunct w:val="0"/>
        <w:autoSpaceDE/>
        <w:autoSpaceDN/>
        <w:bidi w:val="0"/>
        <w:spacing w:line="560" w:lineRule="exact"/>
        <w:ind w:left="0" w:leftChars="0" w:firstLine="640" w:firstLineChars="200"/>
        <w:textAlignment w:val="auto"/>
        <w:rPr>
          <w:color w:val="auto"/>
          <w:sz w:val="32"/>
          <w:highlight w:val="none"/>
          <w:lang w:val="en-US" w:bidi="ar-SA"/>
        </w:rPr>
      </w:pPr>
      <w:bookmarkStart w:id="50" w:name="_Toc3482"/>
      <w:bookmarkStart w:id="51" w:name="_Toc10526"/>
      <w:bookmarkStart w:id="52" w:name="_Toc11210"/>
      <w:r>
        <w:rPr>
          <w:rFonts w:hint="eastAsia"/>
          <w:color w:val="auto"/>
          <w:sz w:val="32"/>
          <w:highlight w:val="none"/>
          <w:lang w:val="en-US" w:bidi="ar-SA"/>
        </w:rPr>
        <w:t>绩效评价人员对项目效</w:t>
      </w:r>
      <w:r>
        <w:rPr>
          <w:rFonts w:hint="eastAsia"/>
          <w:color w:val="auto"/>
          <w:sz w:val="32"/>
          <w:highlight w:val="none"/>
          <w:lang w:val="en-US" w:eastAsia="zh-CN" w:bidi="ar-SA"/>
        </w:rPr>
        <w:t>果</w:t>
      </w:r>
      <w:r>
        <w:rPr>
          <w:rFonts w:hint="eastAsia"/>
          <w:color w:val="auto"/>
          <w:sz w:val="32"/>
          <w:highlight w:val="none"/>
          <w:lang w:val="en-US" w:bidi="ar-SA"/>
        </w:rPr>
        <w:t>情况进行了调查，并分为社会效益、可持续影响和公众满意度，进行分析、考评，具体如下：</w:t>
      </w:r>
    </w:p>
    <w:p>
      <w:pPr>
        <w:pStyle w:val="14"/>
        <w:pageBreakBefore w:val="0"/>
        <w:kinsoku/>
        <w:wordWrap/>
        <w:overflowPunct/>
        <w:topLinePunct w:val="0"/>
        <w:autoSpaceDE/>
        <w:autoSpaceDN/>
        <w:bidi w:val="0"/>
        <w:spacing w:line="560" w:lineRule="exact"/>
        <w:ind w:left="0" w:leftChars="0" w:firstLine="643" w:firstLineChars="200"/>
        <w:textAlignment w:val="auto"/>
        <w:rPr>
          <w:b/>
          <w:bCs/>
          <w:color w:val="auto"/>
          <w:sz w:val="32"/>
          <w:highlight w:val="none"/>
          <w:lang w:val="en-US" w:bidi="ar-SA"/>
        </w:rPr>
      </w:pPr>
      <w:r>
        <w:rPr>
          <w:rFonts w:hint="eastAsia"/>
          <w:b/>
          <w:bCs/>
          <w:color w:val="auto"/>
          <w:sz w:val="32"/>
          <w:highlight w:val="none"/>
          <w:lang w:val="en-US" w:bidi="ar-SA"/>
        </w:rPr>
        <w:t>（1）社会效益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ascii="仿宋" w:hAnsi="仿宋" w:cs="仿宋"/>
          <w:bCs/>
          <w:color w:val="auto"/>
          <w:sz w:val="32"/>
          <w:szCs w:val="32"/>
          <w:highlight w:val="none"/>
        </w:rPr>
      </w:pPr>
      <w:r>
        <w:rPr>
          <w:rFonts w:hint="eastAsia" w:ascii="仿宋" w:hAnsi="仿宋" w:cs="仿宋"/>
          <w:color w:val="auto"/>
          <w:sz w:val="32"/>
          <w:szCs w:val="32"/>
          <w:highlight w:val="none"/>
          <w:lang w:eastAsia="zh-CN"/>
        </w:rPr>
        <w:t>《</w:t>
      </w:r>
      <w:r>
        <w:rPr>
          <w:rFonts w:hint="eastAsia" w:ascii="仿宋" w:hAnsi="仿宋" w:eastAsia="仿宋" w:cs="仿宋"/>
          <w:color w:val="auto"/>
          <w:kern w:val="0"/>
          <w:sz w:val="32"/>
          <w:szCs w:val="32"/>
          <w:highlight w:val="none"/>
          <w:lang w:val="en-US" w:eastAsia="zh-CN" w:bidi="ar"/>
        </w:rPr>
        <w:t>黄石市国民经济和社会发展第十四个五年</w:t>
      </w:r>
      <w:r>
        <w:rPr>
          <w:rFonts w:hint="default" w:ascii="仿宋" w:hAnsi="仿宋" w:eastAsia="仿宋" w:cs="仿宋"/>
          <w:color w:val="auto"/>
          <w:kern w:val="0"/>
          <w:sz w:val="32"/>
          <w:szCs w:val="32"/>
          <w:highlight w:val="none"/>
          <w:lang w:val="en-US" w:eastAsia="zh-CN" w:bidi="ar"/>
        </w:rPr>
        <w:t>规划和二</w:t>
      </w:r>
      <w:r>
        <w:rPr>
          <w:rFonts w:hint="eastAsia" w:ascii="仿宋" w:hAnsi="仿宋" w:eastAsia="仿宋" w:cs="仿宋"/>
          <w:color w:val="auto"/>
          <w:kern w:val="0"/>
          <w:sz w:val="32"/>
          <w:szCs w:val="32"/>
          <w:highlight w:val="none"/>
          <w:lang w:val="en-US" w:eastAsia="zh-CN" w:bidi="ar"/>
        </w:rPr>
        <w:t>〇</w:t>
      </w:r>
      <w:r>
        <w:rPr>
          <w:rFonts w:hint="default" w:ascii="仿宋" w:hAnsi="仿宋" w:eastAsia="仿宋" w:cs="仿宋"/>
          <w:color w:val="auto"/>
          <w:kern w:val="0"/>
          <w:sz w:val="32"/>
          <w:szCs w:val="32"/>
          <w:highlight w:val="none"/>
          <w:lang w:val="en-US" w:eastAsia="zh-CN" w:bidi="ar"/>
        </w:rPr>
        <w:t>三五年远景目标纲要</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提出：</w:t>
      </w:r>
      <w:r>
        <w:rPr>
          <w:rFonts w:ascii="仿宋" w:hAnsi="仿宋" w:eastAsia="仿宋" w:cs="仿宋"/>
          <w:color w:val="auto"/>
          <w:kern w:val="0"/>
          <w:sz w:val="32"/>
          <w:szCs w:val="32"/>
          <w:highlight w:val="none"/>
          <w:lang w:val="en-US" w:eastAsia="zh-CN" w:bidi="ar"/>
        </w:rPr>
        <w:t>充分发挥市场在资源配置中的决定性作用，推动有效市场和</w:t>
      </w:r>
      <w:r>
        <w:rPr>
          <w:rFonts w:hint="eastAsia" w:ascii="仿宋" w:hAnsi="仿宋" w:eastAsia="仿宋" w:cs="仿宋"/>
          <w:color w:val="auto"/>
          <w:kern w:val="0"/>
          <w:sz w:val="32"/>
          <w:szCs w:val="32"/>
          <w:highlight w:val="none"/>
          <w:lang w:val="en-US" w:eastAsia="zh-CN" w:bidi="ar"/>
        </w:rPr>
        <w:t>有为政府更好结合，构建市场机制有效、微观主体有活力、宏观调控有度的经济体制。</w:t>
      </w:r>
      <w:r>
        <w:rPr>
          <w:rFonts w:ascii="仿宋" w:hAnsi="仿宋" w:eastAsia="仿宋" w:cs="仿宋"/>
          <w:color w:val="auto"/>
          <w:kern w:val="0"/>
          <w:sz w:val="32"/>
          <w:szCs w:val="32"/>
          <w:highlight w:val="none"/>
          <w:lang w:val="en-US" w:eastAsia="zh-CN" w:bidi="ar"/>
        </w:rPr>
        <w:t>深入推进土地、劳动力、资本、技术、数据、价格等要素市</w:t>
      </w:r>
      <w:r>
        <w:rPr>
          <w:rFonts w:hint="eastAsia" w:ascii="仿宋" w:hAnsi="仿宋" w:eastAsia="仿宋" w:cs="仿宋"/>
          <w:color w:val="auto"/>
          <w:kern w:val="0"/>
          <w:sz w:val="32"/>
          <w:szCs w:val="32"/>
          <w:highlight w:val="none"/>
          <w:lang w:val="en-US" w:eastAsia="zh-CN" w:bidi="ar"/>
        </w:rPr>
        <w:t>场化改革，提升市场综合监管能力，完善公平竞争和产权保护制度，建设形成平等准入、公正监管、开放有序、规范守法的市场体系。</w:t>
      </w:r>
      <w:r>
        <w:rPr>
          <w:rFonts w:ascii="仿宋" w:hAnsi="仿宋" w:eastAsia="仿宋" w:cs="仿宋"/>
          <w:color w:val="auto"/>
          <w:kern w:val="0"/>
          <w:sz w:val="32"/>
          <w:szCs w:val="32"/>
          <w:highlight w:val="none"/>
          <w:lang w:val="en-US" w:eastAsia="zh-CN" w:bidi="ar"/>
        </w:rPr>
        <w:t>大力弘扬“有求必应、无事不扰”的店小二精神，围绕破解审</w:t>
      </w:r>
      <w:r>
        <w:rPr>
          <w:rFonts w:hint="eastAsia" w:ascii="仿宋" w:hAnsi="仿宋" w:eastAsia="仿宋" w:cs="仿宋"/>
          <w:color w:val="auto"/>
          <w:kern w:val="0"/>
          <w:sz w:val="32"/>
          <w:szCs w:val="32"/>
          <w:highlight w:val="none"/>
          <w:lang w:val="en-US" w:eastAsia="zh-CN" w:bidi="ar"/>
        </w:rPr>
        <w:t>批办证难、融资贷款难、产业创新难、降低成本难等问题，加快打造市场化、法治化、国际化营商环境，健全完善营商环境评价机制。</w:t>
      </w:r>
      <w:r>
        <w:rPr>
          <w:rFonts w:hint="eastAsia" w:ascii="仿宋" w:hAnsi="仿宋" w:cs="仿宋"/>
          <w:bCs/>
          <w:color w:val="auto"/>
          <w:sz w:val="32"/>
          <w:szCs w:val="32"/>
          <w:highlight w:val="none"/>
          <w:lang w:eastAsia="zh-CN"/>
        </w:rPr>
        <w:t>市场监督管理专项经费项目</w:t>
      </w:r>
      <w:r>
        <w:rPr>
          <w:rFonts w:hint="eastAsia" w:ascii="仿宋" w:hAnsi="仿宋" w:cs="仿宋"/>
          <w:bCs/>
          <w:color w:val="auto"/>
          <w:sz w:val="32"/>
          <w:szCs w:val="32"/>
          <w:highlight w:val="none"/>
        </w:rPr>
        <w:t>的社会效益主要表现在：</w:t>
      </w:r>
    </w:p>
    <w:p>
      <w:pPr>
        <w:pageBreakBefore w:val="0"/>
        <w:kinsoku/>
        <w:wordWrap/>
        <w:overflowPunct/>
        <w:topLinePunct w:val="0"/>
        <w:autoSpaceDE/>
        <w:autoSpaceDN/>
        <w:bidi w:val="0"/>
        <w:spacing w:line="560" w:lineRule="exact"/>
        <w:ind w:left="0" w:leftChars="0" w:firstLine="640" w:firstLineChars="200"/>
        <w:textAlignment w:val="auto"/>
        <w:outlineLvl w:val="0"/>
        <w:rPr>
          <w:rFonts w:ascii="仿宋" w:hAnsi="仿宋" w:cs="仿宋"/>
          <w:bCs/>
          <w:color w:val="auto"/>
          <w:sz w:val="32"/>
          <w:szCs w:val="32"/>
          <w:highlight w:val="none"/>
        </w:rPr>
      </w:pPr>
      <w:r>
        <w:rPr>
          <w:rFonts w:hint="eastAsia" w:ascii="仿宋" w:hAnsi="仿宋" w:cs="仿宋"/>
          <w:bCs/>
          <w:color w:val="auto"/>
          <w:sz w:val="32"/>
          <w:szCs w:val="32"/>
          <w:highlight w:val="none"/>
        </w:rPr>
        <w:fldChar w:fldCharType="begin"/>
      </w:r>
      <w:r>
        <w:rPr>
          <w:rFonts w:hint="eastAsia" w:ascii="仿宋" w:hAnsi="仿宋" w:cs="仿宋"/>
          <w:bCs/>
          <w:color w:val="auto"/>
          <w:sz w:val="32"/>
          <w:szCs w:val="32"/>
          <w:highlight w:val="none"/>
        </w:rPr>
        <w:instrText xml:space="preserve"> = 1 \* GB3 \* MERGEFORMAT </w:instrText>
      </w:r>
      <w:r>
        <w:rPr>
          <w:rFonts w:hint="eastAsia" w:ascii="仿宋" w:hAnsi="仿宋" w:cs="仿宋"/>
          <w:bCs/>
          <w:color w:val="auto"/>
          <w:sz w:val="32"/>
          <w:szCs w:val="32"/>
          <w:highlight w:val="none"/>
        </w:rPr>
        <w:fldChar w:fldCharType="separate"/>
      </w:r>
      <w:r>
        <w:rPr>
          <w:color w:val="auto"/>
          <w:highlight w:val="none"/>
        </w:rPr>
        <w:t>①</w:t>
      </w:r>
      <w:r>
        <w:rPr>
          <w:rFonts w:hint="eastAsia" w:ascii="仿宋" w:hAnsi="仿宋" w:cs="仿宋"/>
          <w:bCs/>
          <w:color w:val="auto"/>
          <w:sz w:val="32"/>
          <w:szCs w:val="32"/>
          <w:highlight w:val="none"/>
        </w:rPr>
        <w:fldChar w:fldCharType="end"/>
      </w:r>
      <w:r>
        <w:rPr>
          <w:rFonts w:hint="eastAsia" w:ascii="仿宋" w:hAnsi="仿宋" w:cs="仿宋"/>
          <w:bCs/>
          <w:color w:val="auto"/>
          <w:sz w:val="32"/>
          <w:szCs w:val="32"/>
          <w:highlight w:val="none"/>
        </w:rPr>
        <w:t>优化政务服务，助推经济发展</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项目的实施，推动审批制度改革，优化经济发展环境。按照“省25”条要求，在企业开办“210”标准上进一步压减环节和时间。积极推行“跨域通办”</w:t>
      </w:r>
      <w:r>
        <w:rPr>
          <w:rFonts w:hint="eastAsia" w:ascii="仿宋" w:hAnsi="仿宋" w:cs="仿宋"/>
          <w:bCs/>
          <w:color w:val="auto"/>
          <w:sz w:val="32"/>
          <w:szCs w:val="32"/>
          <w:highlight w:val="none"/>
          <w:lang w:eastAsia="zh-CN"/>
        </w:rPr>
        <w:t>，</w:t>
      </w:r>
      <w:r>
        <w:rPr>
          <w:rFonts w:hint="eastAsia" w:ascii="仿宋" w:hAnsi="仿宋" w:cs="仿宋"/>
          <w:bCs/>
          <w:color w:val="auto"/>
          <w:sz w:val="32"/>
          <w:szCs w:val="32"/>
          <w:highlight w:val="none"/>
        </w:rPr>
        <w:t>大力培育发展市场主体</w:t>
      </w:r>
      <w:r>
        <w:rPr>
          <w:rFonts w:hint="eastAsia" w:ascii="仿宋" w:hAnsi="仿宋" w:cs="仿宋"/>
          <w:bCs/>
          <w:color w:val="auto"/>
          <w:sz w:val="32"/>
          <w:szCs w:val="32"/>
          <w:highlight w:val="none"/>
          <w:lang w:eastAsia="zh-CN"/>
        </w:rPr>
        <w:t>，</w:t>
      </w:r>
      <w:r>
        <w:rPr>
          <w:rFonts w:hint="eastAsia" w:ascii="仿宋" w:hAnsi="仿宋" w:cs="仿宋"/>
          <w:bCs/>
          <w:color w:val="auto"/>
          <w:sz w:val="32"/>
          <w:szCs w:val="32"/>
          <w:highlight w:val="none"/>
        </w:rPr>
        <w:t>加大支持“个转企”。提升知识产权运用转化效益，推进专利转化运用，促进知识产权高质量创造，推进品牌提升及转化。</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单项满意率80.50%。</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分，扣分</w:t>
      </w:r>
      <w:r>
        <w:rPr>
          <w:rFonts w:hint="eastAsia" w:ascii="仿宋" w:hAnsi="仿宋" w:cs="仿宋"/>
          <w:color w:val="auto"/>
          <w:sz w:val="32"/>
          <w:szCs w:val="32"/>
          <w:highlight w:val="none"/>
          <w:lang w:val="en-US" w:eastAsia="zh-CN"/>
        </w:rPr>
        <w:t>1.95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8.05</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0" w:firstLineChars="200"/>
        <w:textAlignment w:val="auto"/>
        <w:outlineLvl w:val="0"/>
        <w:rPr>
          <w:rFonts w:ascii="仿宋" w:hAnsi="仿宋" w:cs="仿宋"/>
          <w:bCs/>
          <w:color w:val="auto"/>
          <w:sz w:val="32"/>
          <w:szCs w:val="32"/>
          <w:highlight w:val="none"/>
        </w:rPr>
      </w:pPr>
      <w:r>
        <w:rPr>
          <w:rFonts w:hint="eastAsia" w:ascii="仿宋" w:hAnsi="仿宋" w:cs="仿宋"/>
          <w:bCs/>
          <w:color w:val="auto"/>
          <w:sz w:val="32"/>
          <w:szCs w:val="32"/>
          <w:highlight w:val="none"/>
        </w:rPr>
        <w:fldChar w:fldCharType="begin"/>
      </w:r>
      <w:r>
        <w:rPr>
          <w:rFonts w:hint="eastAsia" w:ascii="仿宋" w:hAnsi="仿宋" w:cs="仿宋"/>
          <w:bCs/>
          <w:color w:val="auto"/>
          <w:sz w:val="32"/>
          <w:szCs w:val="32"/>
          <w:highlight w:val="none"/>
        </w:rPr>
        <w:instrText xml:space="preserve"> = 2 \* GB3 \* MERGEFORMAT </w:instrText>
      </w:r>
      <w:r>
        <w:rPr>
          <w:rFonts w:hint="eastAsia" w:ascii="仿宋" w:hAnsi="仿宋" w:cs="仿宋"/>
          <w:bCs/>
          <w:color w:val="auto"/>
          <w:sz w:val="32"/>
          <w:szCs w:val="32"/>
          <w:highlight w:val="none"/>
        </w:rPr>
        <w:fldChar w:fldCharType="separate"/>
      </w:r>
      <w:r>
        <w:rPr>
          <w:color w:val="auto"/>
          <w:highlight w:val="none"/>
        </w:rPr>
        <w:t>②</w:t>
      </w:r>
      <w:r>
        <w:rPr>
          <w:rFonts w:hint="eastAsia" w:ascii="仿宋" w:hAnsi="仿宋" w:cs="仿宋"/>
          <w:bCs/>
          <w:color w:val="auto"/>
          <w:sz w:val="32"/>
          <w:szCs w:val="32"/>
          <w:highlight w:val="none"/>
        </w:rPr>
        <w:fldChar w:fldCharType="end"/>
      </w:r>
      <w:r>
        <w:rPr>
          <w:rFonts w:hint="eastAsia" w:ascii="仿宋" w:hAnsi="仿宋" w:cs="仿宋"/>
          <w:bCs/>
          <w:color w:val="auto"/>
          <w:sz w:val="32"/>
          <w:szCs w:val="32"/>
          <w:highlight w:val="none"/>
        </w:rPr>
        <w:t>加强综合监管，筑牢安全底线</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项目的实施，加强校园及周边食品安全监管</w:t>
      </w:r>
      <w:r>
        <w:rPr>
          <w:rFonts w:hint="eastAsia" w:ascii="仿宋" w:hAnsi="仿宋" w:cs="仿宋"/>
          <w:bCs/>
          <w:color w:val="auto"/>
          <w:sz w:val="32"/>
          <w:szCs w:val="32"/>
          <w:highlight w:val="none"/>
          <w:lang w:eastAsia="zh-CN"/>
        </w:rPr>
        <w:t>，</w:t>
      </w:r>
      <w:r>
        <w:rPr>
          <w:rFonts w:hint="eastAsia" w:ascii="仿宋" w:hAnsi="仿宋" w:cs="仿宋"/>
          <w:bCs/>
          <w:color w:val="auto"/>
          <w:sz w:val="32"/>
          <w:szCs w:val="32"/>
          <w:highlight w:val="none"/>
        </w:rPr>
        <w:t>推动餐饮市场主体“互联网+明厨亮灶”建设。加强重点领域食品安全监管</w:t>
      </w:r>
      <w:r>
        <w:rPr>
          <w:rFonts w:hint="eastAsia" w:ascii="仿宋" w:hAnsi="仿宋" w:cs="仿宋"/>
          <w:bCs/>
          <w:color w:val="auto"/>
          <w:sz w:val="32"/>
          <w:szCs w:val="32"/>
          <w:highlight w:val="none"/>
          <w:lang w:eastAsia="zh-CN"/>
        </w:rPr>
        <w:t>，</w:t>
      </w:r>
      <w:r>
        <w:rPr>
          <w:rFonts w:hint="eastAsia" w:ascii="仿宋" w:hAnsi="仿宋" w:cs="仿宋"/>
          <w:bCs/>
          <w:color w:val="auto"/>
          <w:sz w:val="32"/>
          <w:szCs w:val="32"/>
          <w:highlight w:val="none"/>
        </w:rPr>
        <w:t>开展医疗机构器械“线上清网线下规范”专项治理。开展超期未检特种设备“清零”行动。开展老旧园区特种设备隐患治理专项行动。规范检验检测机构行为。</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eastAsia="仿宋" w:cs="仿宋"/>
          <w:bCs/>
          <w:color w:val="auto"/>
          <w:sz w:val="32"/>
          <w:szCs w:val="32"/>
          <w:highlight w:val="none"/>
          <w:lang w:eastAsia="zh-CN"/>
        </w:rPr>
      </w:pPr>
      <w:r>
        <w:rPr>
          <w:rFonts w:hint="eastAsia" w:ascii="仿宋" w:hAnsi="仿宋" w:cs="仿宋"/>
          <w:bCs/>
          <w:color w:val="auto"/>
          <w:sz w:val="32"/>
          <w:szCs w:val="32"/>
          <w:highlight w:val="none"/>
        </w:rPr>
        <w:t>单项满意率82.50%</w:t>
      </w:r>
      <w:r>
        <w:rPr>
          <w:rFonts w:hint="eastAsia" w:ascii="仿宋" w:hAnsi="仿宋" w:cs="仿宋"/>
          <w:bCs/>
          <w:color w:val="auto"/>
          <w:sz w:val="32"/>
          <w:szCs w:val="32"/>
          <w:highlight w:val="none"/>
          <w:lang w:eastAsia="zh-CN"/>
        </w:rPr>
        <w:t>。</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分，扣分</w:t>
      </w:r>
      <w:r>
        <w:rPr>
          <w:rFonts w:hint="eastAsia" w:ascii="仿宋" w:hAnsi="仿宋" w:cs="仿宋"/>
          <w:color w:val="auto"/>
          <w:sz w:val="32"/>
          <w:szCs w:val="32"/>
          <w:highlight w:val="none"/>
          <w:lang w:val="en-US" w:eastAsia="zh-CN"/>
        </w:rPr>
        <w:t>1.75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8.25</w:t>
      </w:r>
      <w:r>
        <w:rPr>
          <w:rFonts w:hint="eastAsia" w:ascii="仿宋" w:hAnsi="仿宋" w:cs="仿宋"/>
          <w:color w:val="auto"/>
          <w:sz w:val="32"/>
          <w:szCs w:val="32"/>
          <w:highlight w:val="none"/>
        </w:rPr>
        <w:t>分。</w:t>
      </w:r>
    </w:p>
    <w:p>
      <w:pPr>
        <w:pStyle w:val="14"/>
        <w:pageBreakBefore w:val="0"/>
        <w:kinsoku/>
        <w:wordWrap/>
        <w:overflowPunct/>
        <w:topLinePunct w:val="0"/>
        <w:autoSpaceDE/>
        <w:autoSpaceDN/>
        <w:bidi w:val="0"/>
        <w:spacing w:line="560" w:lineRule="exact"/>
        <w:ind w:left="0" w:leftChars="0" w:firstLine="643" w:firstLineChars="200"/>
        <w:textAlignment w:val="auto"/>
        <w:rPr>
          <w:b/>
          <w:bCs/>
          <w:color w:val="auto"/>
          <w:sz w:val="32"/>
          <w:highlight w:val="none"/>
          <w:lang w:val="en-US" w:bidi="ar-SA"/>
        </w:rPr>
      </w:pPr>
      <w:r>
        <w:rPr>
          <w:rFonts w:hint="eastAsia"/>
          <w:b/>
          <w:bCs/>
          <w:color w:val="auto"/>
          <w:sz w:val="32"/>
          <w:highlight w:val="none"/>
          <w:lang w:val="en-US" w:bidi="ar-SA"/>
        </w:rPr>
        <w:t>（2）可持续影响</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eastAsia="仿宋" w:cs="仿宋"/>
          <w:bCs/>
          <w:color w:val="auto"/>
          <w:kern w:val="2"/>
          <w:sz w:val="32"/>
          <w:szCs w:val="32"/>
          <w:highlight w:val="none"/>
          <w:lang w:val="en-US" w:eastAsia="zh-CN" w:bidi="ar-SA"/>
        </w:rPr>
      </w:pPr>
      <w:r>
        <w:rPr>
          <w:rFonts w:hint="eastAsia" w:ascii="仿宋" w:hAnsi="仿宋" w:cs="仿宋"/>
          <w:bCs/>
          <w:color w:val="auto"/>
          <w:sz w:val="32"/>
          <w:szCs w:val="32"/>
          <w:highlight w:val="none"/>
        </w:rPr>
        <w:t>项目实施以市场监督管理相关法律法规为依据，纳入国民经济和社会发展规划。作为延续性项目，中央、省市安排年度补助资金予以支持，项目将产生可持续性影响。</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（3）公众对象满意度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cs="仿宋"/>
          <w:b w:val="0"/>
          <w:bCs/>
          <w:color w:val="auto"/>
          <w:sz w:val="32"/>
          <w:szCs w:val="32"/>
          <w:highlight w:val="none"/>
          <w:lang w:val="en-US" w:eastAsia="zh-CN"/>
        </w:rPr>
      </w:pPr>
      <w:r>
        <w:rPr>
          <w:rFonts w:hint="eastAsia" w:ascii="仿宋" w:hAnsi="仿宋" w:cs="仿宋"/>
          <w:b w:val="0"/>
          <w:bCs/>
          <w:color w:val="auto"/>
          <w:sz w:val="32"/>
          <w:szCs w:val="32"/>
          <w:highlight w:val="none"/>
        </w:rPr>
        <w:t>我们</w:t>
      </w:r>
      <w:r>
        <w:rPr>
          <w:rFonts w:hint="eastAsia" w:ascii="仿宋" w:hAnsi="仿宋" w:cs="仿宋"/>
          <w:b w:val="0"/>
          <w:bCs/>
          <w:color w:val="auto"/>
          <w:sz w:val="32"/>
          <w:szCs w:val="32"/>
          <w:highlight w:val="none"/>
          <w:lang w:val="en-US" w:eastAsia="zh-CN"/>
        </w:rPr>
        <w:t>对受益对象以电话方式，</w:t>
      </w:r>
      <w:r>
        <w:rPr>
          <w:rFonts w:hint="eastAsia" w:ascii="仿宋" w:hAnsi="仿宋" w:cs="仿宋"/>
          <w:b w:val="0"/>
          <w:bCs/>
          <w:color w:val="auto"/>
          <w:sz w:val="32"/>
          <w:szCs w:val="32"/>
          <w:highlight w:val="none"/>
        </w:rPr>
        <w:t>进行了问卷调查，发放问卷50份，收回有效问卷50份，收回有效率100%</w:t>
      </w:r>
      <w:r>
        <w:rPr>
          <w:rFonts w:hint="eastAsia" w:ascii="仿宋" w:hAnsi="仿宋" w:cs="仿宋"/>
          <w:b w:val="0"/>
          <w:bCs/>
          <w:color w:val="auto"/>
          <w:sz w:val="32"/>
          <w:szCs w:val="32"/>
          <w:highlight w:val="none"/>
          <w:lang w:eastAsia="zh-CN"/>
        </w:rPr>
        <w:t>。</w:t>
      </w:r>
      <w:r>
        <w:rPr>
          <w:rFonts w:hint="eastAsia" w:ascii="仿宋" w:hAnsi="仿宋" w:eastAsia="仿宋" w:cs="仿宋"/>
          <w:b w:val="0"/>
          <w:bCs/>
          <w:color w:val="auto"/>
          <w:sz w:val="32"/>
          <w:szCs w:val="32"/>
          <w:highlight w:val="none"/>
          <w:lang w:val="en-US" w:eastAsia="zh-CN"/>
        </w:rPr>
        <w:t>满意度调查分别从</w:t>
      </w:r>
      <w:r>
        <w:rPr>
          <w:rFonts w:hint="eastAsia" w:ascii="宋体" w:hAnsi="宋体" w:cs="宋体"/>
          <w:b w:val="0"/>
          <w:bCs/>
          <w:color w:val="auto"/>
          <w:sz w:val="32"/>
          <w:szCs w:val="32"/>
          <w:highlight w:val="none"/>
          <w:lang w:val="en-US" w:eastAsia="zh-CN"/>
        </w:rPr>
        <w:t>助推经济发展效应</w:t>
      </w:r>
      <w:r>
        <w:rPr>
          <w:rFonts w:hint="eastAsia" w:ascii="仿宋" w:hAnsi="仿宋" w:eastAsia="仿宋" w:cs="仿宋"/>
          <w:b w:val="0"/>
          <w:bCs/>
          <w:color w:val="auto"/>
          <w:sz w:val="32"/>
          <w:szCs w:val="32"/>
          <w:highlight w:val="none"/>
          <w:lang w:val="en-US" w:eastAsia="zh-CN"/>
        </w:rPr>
        <w:t>、</w:t>
      </w:r>
      <w:r>
        <w:rPr>
          <w:rFonts w:hint="eastAsia" w:ascii="宋体" w:hAnsi="宋体" w:cs="宋体"/>
          <w:b w:val="0"/>
          <w:bCs/>
          <w:color w:val="auto"/>
          <w:sz w:val="32"/>
          <w:szCs w:val="32"/>
          <w:highlight w:val="none"/>
          <w:lang w:val="en-US" w:eastAsia="zh-CN"/>
        </w:rPr>
        <w:t>筑牢安全底线效果</w:t>
      </w:r>
      <w:r>
        <w:rPr>
          <w:rFonts w:hint="eastAsia" w:ascii="仿宋" w:hAnsi="仿宋" w:eastAsia="仿宋" w:cs="仿宋"/>
          <w:b w:val="0"/>
          <w:bCs/>
          <w:color w:val="auto"/>
          <w:sz w:val="32"/>
          <w:szCs w:val="32"/>
          <w:highlight w:val="none"/>
          <w:lang w:val="en-US" w:eastAsia="zh-CN"/>
        </w:rPr>
        <w:t>、</w:t>
      </w:r>
      <w:r>
        <w:rPr>
          <w:rFonts w:hint="eastAsia" w:ascii="宋体" w:hAnsi="宋体" w:cs="宋体"/>
          <w:b w:val="0"/>
          <w:bCs/>
          <w:color w:val="auto"/>
          <w:sz w:val="32"/>
          <w:szCs w:val="32"/>
          <w:highlight w:val="none"/>
        </w:rPr>
        <w:t>市场监管</w:t>
      </w:r>
      <w:r>
        <w:rPr>
          <w:rFonts w:hint="eastAsia" w:ascii="宋体" w:hAnsi="宋体" w:cs="宋体"/>
          <w:b w:val="0"/>
          <w:bCs/>
          <w:color w:val="auto"/>
          <w:sz w:val="32"/>
          <w:szCs w:val="32"/>
          <w:highlight w:val="none"/>
          <w:lang w:val="en-US" w:eastAsia="zh-CN"/>
        </w:rPr>
        <w:t>覆盖范围</w:t>
      </w:r>
      <w:r>
        <w:rPr>
          <w:rFonts w:hint="eastAsia" w:ascii="仿宋" w:hAnsi="仿宋" w:eastAsia="仿宋" w:cs="仿宋"/>
          <w:b w:val="0"/>
          <w:bCs/>
          <w:color w:val="auto"/>
          <w:sz w:val="32"/>
          <w:szCs w:val="32"/>
          <w:highlight w:val="none"/>
          <w:lang w:val="en-US" w:eastAsia="zh-CN"/>
        </w:rPr>
        <w:t>、</w:t>
      </w:r>
      <w:r>
        <w:rPr>
          <w:rFonts w:hint="eastAsia" w:ascii="宋体" w:hAnsi="宋体" w:cs="宋体"/>
          <w:b w:val="0"/>
          <w:bCs/>
          <w:color w:val="auto"/>
          <w:sz w:val="32"/>
          <w:szCs w:val="32"/>
          <w:highlight w:val="none"/>
        </w:rPr>
        <w:t>市场监管</w:t>
      </w:r>
      <w:r>
        <w:rPr>
          <w:rFonts w:hint="eastAsia" w:ascii="宋体" w:hAnsi="宋体" w:cs="宋体"/>
          <w:b w:val="0"/>
          <w:bCs/>
          <w:color w:val="auto"/>
          <w:sz w:val="32"/>
          <w:szCs w:val="32"/>
          <w:highlight w:val="none"/>
          <w:lang w:val="en-US" w:eastAsia="zh-CN"/>
        </w:rPr>
        <w:t>规范执法</w:t>
      </w:r>
      <w:r>
        <w:rPr>
          <w:rFonts w:hint="eastAsia" w:ascii="仿宋" w:hAnsi="仿宋" w:eastAsia="仿宋" w:cs="仿宋"/>
          <w:b w:val="0"/>
          <w:bCs/>
          <w:color w:val="auto"/>
          <w:sz w:val="32"/>
          <w:szCs w:val="32"/>
          <w:highlight w:val="none"/>
          <w:lang w:val="en-US" w:eastAsia="zh-CN"/>
        </w:rPr>
        <w:t>、</w:t>
      </w:r>
      <w:r>
        <w:rPr>
          <w:rFonts w:hint="eastAsia" w:ascii="宋体" w:hAnsi="宋体" w:cs="宋体"/>
          <w:b w:val="0"/>
          <w:bCs/>
          <w:color w:val="auto"/>
          <w:sz w:val="32"/>
          <w:szCs w:val="32"/>
          <w:highlight w:val="none"/>
        </w:rPr>
        <w:t>市场监管</w:t>
      </w:r>
      <w:r>
        <w:rPr>
          <w:rFonts w:hint="eastAsia" w:ascii="宋体" w:hAnsi="宋体" w:cs="宋体"/>
          <w:b w:val="0"/>
          <w:bCs/>
          <w:color w:val="auto"/>
          <w:sz w:val="32"/>
          <w:szCs w:val="32"/>
          <w:highlight w:val="none"/>
          <w:lang w:val="en-US" w:eastAsia="zh-CN"/>
        </w:rPr>
        <w:t>公示公开</w:t>
      </w:r>
      <w:r>
        <w:rPr>
          <w:rFonts w:hint="eastAsia" w:ascii="仿宋" w:hAnsi="仿宋" w:eastAsia="仿宋" w:cs="仿宋"/>
          <w:b w:val="0"/>
          <w:bCs/>
          <w:color w:val="auto"/>
          <w:sz w:val="32"/>
          <w:szCs w:val="32"/>
          <w:highlight w:val="none"/>
          <w:lang w:val="en-US" w:eastAsia="zh-CN"/>
        </w:rPr>
        <w:t>、工作人员服务态度等六个方面进行</w:t>
      </w:r>
      <w:r>
        <w:rPr>
          <w:rFonts w:hint="eastAsia" w:ascii="仿宋" w:hAnsi="仿宋" w:cs="仿宋"/>
          <w:b w:val="0"/>
          <w:bCs/>
          <w:color w:val="auto"/>
          <w:sz w:val="32"/>
          <w:szCs w:val="32"/>
          <w:highlight w:val="none"/>
          <w:lang w:val="en-US" w:eastAsia="zh-CN"/>
        </w:rPr>
        <w:t>，满意度调查结果加权综合得分81.25%。（其中：</w:t>
      </w:r>
      <w:r>
        <w:rPr>
          <w:rFonts w:hint="eastAsia" w:ascii="宋体" w:hAnsi="宋体" w:cs="宋体"/>
          <w:b w:val="0"/>
          <w:bCs/>
          <w:color w:val="auto"/>
          <w:sz w:val="32"/>
          <w:szCs w:val="32"/>
          <w:highlight w:val="none"/>
          <w:lang w:val="en-US" w:eastAsia="zh-CN"/>
        </w:rPr>
        <w:t>助推经济发展效应</w:t>
      </w:r>
      <w:r>
        <w:rPr>
          <w:rFonts w:hint="eastAsia" w:ascii="仿宋" w:hAnsi="仿宋" w:cs="仿宋"/>
          <w:b w:val="0"/>
          <w:bCs/>
          <w:color w:val="auto"/>
          <w:sz w:val="32"/>
          <w:szCs w:val="32"/>
          <w:highlight w:val="none"/>
          <w:lang w:val="en-US" w:eastAsia="zh-CN"/>
        </w:rPr>
        <w:t>的单项满意率80.50%、</w:t>
      </w:r>
      <w:r>
        <w:rPr>
          <w:rFonts w:hint="eastAsia" w:ascii="宋体" w:hAnsi="宋体" w:cs="宋体"/>
          <w:b w:val="0"/>
          <w:bCs/>
          <w:color w:val="auto"/>
          <w:sz w:val="32"/>
          <w:szCs w:val="32"/>
          <w:highlight w:val="none"/>
          <w:lang w:val="en-US" w:eastAsia="zh-CN"/>
        </w:rPr>
        <w:t>筑牢安全底线效果</w:t>
      </w:r>
      <w:r>
        <w:rPr>
          <w:rFonts w:hint="eastAsia" w:ascii="仿宋" w:hAnsi="仿宋" w:cs="仿宋"/>
          <w:b w:val="0"/>
          <w:bCs/>
          <w:color w:val="auto"/>
          <w:sz w:val="32"/>
          <w:szCs w:val="32"/>
          <w:highlight w:val="none"/>
          <w:lang w:val="en-US" w:eastAsia="zh-CN"/>
        </w:rPr>
        <w:t>的单项满意率82.50%、</w:t>
      </w:r>
      <w:r>
        <w:rPr>
          <w:rFonts w:hint="eastAsia" w:ascii="宋体" w:hAnsi="宋体" w:cs="宋体"/>
          <w:b w:val="0"/>
          <w:bCs/>
          <w:color w:val="auto"/>
          <w:sz w:val="32"/>
          <w:szCs w:val="32"/>
          <w:highlight w:val="none"/>
        </w:rPr>
        <w:t>市场监管</w:t>
      </w:r>
      <w:r>
        <w:rPr>
          <w:rFonts w:hint="eastAsia" w:ascii="宋体" w:hAnsi="宋体" w:cs="宋体"/>
          <w:b w:val="0"/>
          <w:bCs/>
          <w:color w:val="auto"/>
          <w:sz w:val="32"/>
          <w:szCs w:val="32"/>
          <w:highlight w:val="none"/>
          <w:lang w:val="en-US" w:eastAsia="zh-CN"/>
        </w:rPr>
        <w:t>覆盖范围</w:t>
      </w:r>
      <w:r>
        <w:rPr>
          <w:rFonts w:hint="eastAsia" w:ascii="仿宋" w:hAnsi="仿宋" w:cs="仿宋"/>
          <w:b w:val="0"/>
          <w:bCs/>
          <w:color w:val="auto"/>
          <w:sz w:val="32"/>
          <w:szCs w:val="32"/>
          <w:highlight w:val="none"/>
          <w:lang w:val="en-US" w:eastAsia="zh-CN"/>
        </w:rPr>
        <w:t>的单项满意率81.50%、</w:t>
      </w:r>
      <w:r>
        <w:rPr>
          <w:rFonts w:hint="eastAsia" w:ascii="宋体" w:hAnsi="宋体" w:cs="宋体"/>
          <w:b w:val="0"/>
          <w:bCs/>
          <w:color w:val="auto"/>
          <w:sz w:val="32"/>
          <w:szCs w:val="32"/>
          <w:highlight w:val="none"/>
        </w:rPr>
        <w:t>市场监管</w:t>
      </w:r>
      <w:r>
        <w:rPr>
          <w:rFonts w:hint="eastAsia" w:ascii="宋体" w:hAnsi="宋体" w:cs="宋体"/>
          <w:b w:val="0"/>
          <w:bCs/>
          <w:color w:val="auto"/>
          <w:sz w:val="32"/>
          <w:szCs w:val="32"/>
          <w:highlight w:val="none"/>
          <w:lang w:val="en-US" w:eastAsia="zh-CN"/>
        </w:rPr>
        <w:t>规范执法</w:t>
      </w:r>
      <w:r>
        <w:rPr>
          <w:rFonts w:hint="eastAsia" w:ascii="仿宋" w:hAnsi="仿宋" w:cs="仿宋"/>
          <w:b w:val="0"/>
          <w:bCs/>
          <w:color w:val="auto"/>
          <w:sz w:val="32"/>
          <w:szCs w:val="32"/>
          <w:highlight w:val="none"/>
          <w:lang w:val="en-US" w:eastAsia="zh-CN"/>
        </w:rPr>
        <w:t>的单项满意率79.50%、</w:t>
      </w:r>
      <w:r>
        <w:rPr>
          <w:rFonts w:hint="eastAsia" w:ascii="宋体" w:hAnsi="宋体" w:cs="宋体"/>
          <w:b w:val="0"/>
          <w:bCs/>
          <w:color w:val="auto"/>
          <w:sz w:val="32"/>
          <w:szCs w:val="32"/>
          <w:highlight w:val="none"/>
        </w:rPr>
        <w:t>市场监管</w:t>
      </w:r>
      <w:r>
        <w:rPr>
          <w:rFonts w:hint="eastAsia" w:ascii="宋体" w:hAnsi="宋体" w:cs="宋体"/>
          <w:b w:val="0"/>
          <w:bCs/>
          <w:color w:val="auto"/>
          <w:sz w:val="32"/>
          <w:szCs w:val="32"/>
          <w:highlight w:val="none"/>
          <w:lang w:val="en-US" w:eastAsia="zh-CN"/>
        </w:rPr>
        <w:t>公示公开</w:t>
      </w:r>
      <w:r>
        <w:rPr>
          <w:rFonts w:hint="eastAsia" w:ascii="仿宋" w:hAnsi="仿宋" w:cs="仿宋"/>
          <w:b w:val="0"/>
          <w:bCs/>
          <w:color w:val="auto"/>
          <w:sz w:val="32"/>
          <w:szCs w:val="32"/>
          <w:highlight w:val="none"/>
          <w:lang w:val="en-US" w:eastAsia="zh-CN"/>
        </w:rPr>
        <w:t>的单项满意率82.50%、工作人员服务态度的单项满意率81.00%。）</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受访者对项目的综合满意率：90%（含）以上得</w:t>
      </w:r>
      <w:r>
        <w:rPr>
          <w:rFonts w:hint="eastAsia" w:ascii="仿宋" w:hAnsi="仿宋" w:cs="仿宋"/>
          <w:bCs/>
          <w:color w:val="auto"/>
          <w:sz w:val="32"/>
          <w:szCs w:val="32"/>
          <w:highlight w:val="none"/>
          <w:lang w:val="en-US" w:eastAsia="zh-CN"/>
        </w:rPr>
        <w:t>10</w:t>
      </w:r>
      <w:r>
        <w:rPr>
          <w:rFonts w:hint="eastAsia" w:ascii="仿宋" w:hAnsi="仿宋" w:cs="仿宋"/>
          <w:bCs/>
          <w:color w:val="auto"/>
          <w:sz w:val="32"/>
          <w:szCs w:val="32"/>
          <w:highlight w:val="none"/>
        </w:rPr>
        <w:t>分；70-90%（含70%）按实际满意度计算得分；70%以下不得分。</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标准分</w:t>
      </w:r>
      <w:r>
        <w:rPr>
          <w:rFonts w:hint="eastAsia" w:ascii="仿宋" w:hAnsi="仿宋" w:cs="仿宋"/>
          <w:bCs/>
          <w:color w:val="auto"/>
          <w:sz w:val="32"/>
          <w:szCs w:val="32"/>
          <w:highlight w:val="none"/>
          <w:lang w:val="en-US" w:eastAsia="zh-CN"/>
        </w:rPr>
        <w:t>10</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1.87</w:t>
      </w:r>
      <w:r>
        <w:rPr>
          <w:rFonts w:hint="eastAsia" w:ascii="仿宋" w:hAnsi="仿宋" w:cs="仿宋"/>
          <w:bCs/>
          <w:color w:val="auto"/>
          <w:sz w:val="32"/>
          <w:szCs w:val="32"/>
          <w:highlight w:val="none"/>
        </w:rPr>
        <w:t>分，得分</w:t>
      </w:r>
      <w:r>
        <w:rPr>
          <w:rFonts w:hint="eastAsia" w:ascii="仿宋" w:hAnsi="仿宋" w:cs="仿宋"/>
          <w:bCs/>
          <w:color w:val="auto"/>
          <w:sz w:val="32"/>
          <w:szCs w:val="32"/>
          <w:highlight w:val="none"/>
          <w:lang w:val="en-US" w:eastAsia="zh-CN"/>
        </w:rPr>
        <w:t>8.13</w:t>
      </w:r>
      <w:r>
        <w:rPr>
          <w:rFonts w:hint="eastAsia" w:ascii="仿宋" w:hAnsi="仿宋" w:cs="仿宋"/>
          <w:bCs/>
          <w:color w:val="auto"/>
          <w:sz w:val="32"/>
          <w:szCs w:val="32"/>
          <w:highlight w:val="none"/>
        </w:rPr>
        <w:t>分。</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仿宋" w:hAnsi="仿宋" w:eastAsia="仿宋" w:cs="仿宋"/>
          <w:color w:val="auto"/>
          <w:sz w:val="32"/>
          <w:szCs w:val="32"/>
          <w:highlight w:val="none"/>
        </w:rPr>
      </w:pPr>
      <w:r>
        <w:rPr>
          <w:rFonts w:hint="eastAsia" w:ascii="楷体" w:hAnsi="楷体" w:eastAsia="楷体" w:cs="楷体"/>
          <w:color w:val="auto"/>
          <w:sz w:val="32"/>
          <w:szCs w:val="32"/>
          <w:highlight w:val="none"/>
        </w:rPr>
        <w:t>（四）上年度评价结果应用情况</w:t>
      </w:r>
      <w:bookmarkEnd w:id="50"/>
      <w:bookmarkEnd w:id="51"/>
      <w:bookmarkEnd w:id="52"/>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上年度或以前年度无“</w:t>
      </w:r>
      <w:r>
        <w:rPr>
          <w:rFonts w:hint="eastAsia" w:ascii="仿宋" w:hAnsi="仿宋" w:cs="仿宋"/>
          <w:bCs/>
          <w:color w:val="auto"/>
          <w:sz w:val="32"/>
          <w:szCs w:val="32"/>
          <w:highlight w:val="none"/>
          <w:lang w:eastAsia="zh-CN"/>
        </w:rPr>
        <w:t>市场监督管理专项经费项目</w:t>
      </w:r>
      <w:r>
        <w:rPr>
          <w:rFonts w:hint="eastAsia" w:ascii="仿宋" w:hAnsi="仿宋" w:cs="仿宋"/>
          <w:bCs/>
          <w:color w:val="auto"/>
          <w:sz w:val="32"/>
          <w:szCs w:val="32"/>
          <w:highlight w:val="none"/>
        </w:rPr>
        <w:t>”</w:t>
      </w:r>
      <w:r>
        <w:rPr>
          <w:rFonts w:hint="eastAsia" w:ascii="仿宋" w:hAnsi="仿宋" w:cs="仿宋"/>
          <w:color w:val="auto"/>
          <w:sz w:val="32"/>
          <w:szCs w:val="32"/>
          <w:highlight w:val="none"/>
        </w:rPr>
        <w:t>的绩效评价，故无相关绩效评价结果应用。</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楷体" w:hAnsi="楷体" w:eastAsia="楷体" w:cs="楷体"/>
          <w:color w:val="auto"/>
          <w:sz w:val="32"/>
          <w:szCs w:val="32"/>
          <w:highlight w:val="none"/>
        </w:rPr>
      </w:pPr>
      <w:bookmarkStart w:id="53" w:name="_Toc10259"/>
      <w:bookmarkStart w:id="54" w:name="_Toc8863"/>
      <w:bookmarkStart w:id="55" w:name="_Toc5189"/>
      <w:r>
        <w:rPr>
          <w:rFonts w:hint="eastAsia" w:ascii="楷体" w:hAnsi="楷体" w:eastAsia="楷体" w:cs="楷体"/>
          <w:color w:val="auto"/>
          <w:sz w:val="32"/>
          <w:szCs w:val="32"/>
          <w:highlight w:val="none"/>
        </w:rPr>
        <w:t>（五）其他佐证材料</w:t>
      </w:r>
      <w:bookmarkEnd w:id="53"/>
      <w:bookmarkEnd w:id="54"/>
      <w:bookmarkEnd w:id="55"/>
    </w:p>
    <w:p>
      <w:pPr>
        <w:pageBreakBefore w:val="0"/>
        <w:kinsoku/>
        <w:wordWrap/>
        <w:overflowPunct/>
        <w:topLinePunct w:val="0"/>
        <w:autoSpaceDE/>
        <w:autoSpaceDN/>
        <w:bidi w:val="0"/>
        <w:spacing w:line="560" w:lineRule="exact"/>
        <w:ind w:left="0" w:leftChars="0" w:firstLine="640" w:firstLineChars="200"/>
        <w:textAlignment w:val="auto"/>
        <w:rPr>
          <w:rFonts w:ascii="楷体" w:hAnsi="楷体" w:eastAsia="楷体" w:cs="仿宋"/>
          <w:color w:val="auto"/>
          <w:kern w:val="0"/>
          <w:sz w:val="32"/>
          <w:szCs w:val="32"/>
          <w:highlight w:val="none"/>
        </w:rPr>
      </w:pPr>
      <w:r>
        <w:rPr>
          <w:rFonts w:hint="eastAsia" w:ascii="楷体" w:hAnsi="楷体" w:eastAsia="楷体" w:cs="仿宋"/>
          <w:color w:val="auto"/>
          <w:kern w:val="0"/>
          <w:sz w:val="32"/>
          <w:szCs w:val="32"/>
          <w:highlight w:val="none"/>
        </w:rPr>
        <w:t>1.</w:t>
      </w:r>
      <w:r>
        <w:rPr>
          <w:rFonts w:hint="eastAsia" w:ascii="楷体" w:hAnsi="楷体" w:eastAsia="楷体"/>
          <w:color w:val="auto"/>
          <w:highlight w:val="none"/>
        </w:rPr>
        <w:t xml:space="preserve"> </w:t>
      </w:r>
      <w:r>
        <w:rPr>
          <w:rFonts w:hint="eastAsia" w:ascii="楷体" w:hAnsi="楷体" w:eastAsia="楷体" w:cs="仿宋"/>
          <w:color w:val="auto"/>
          <w:kern w:val="0"/>
          <w:sz w:val="32"/>
          <w:szCs w:val="32"/>
          <w:highlight w:val="none"/>
        </w:rPr>
        <w:t>应特别说明的相关问题</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1）我们的责任是在实施绩效评价程序的基础上，对项目的执行、资金的使用进行绩效评价。选择的绩效评价程序取决于评价人员的判断，项目评价的可靠性基于相关部门和单位提供资料的全面性和准确性，评价小组尽可能地收集更为全面、有效、准确的文件和数据，但由于受客观因素的限制，只能在相关部门和单位提供的现有资料的前提下，结合应有的职业判断做出尽可能可靠的评价结论。由于是采用抽样方式开展绩效评价工作，无法对项目进行全面核实，只能根据样本评价结果推导所有项目的评价结果，由于样本差异，总体评价结果可能存在一定偏差。</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（2）本公司及评价人员与委托评价单位和项目实施单位之间不存在任何特殊的、需要回避的利害关系，评价人员在评价过程</w:t>
      </w:r>
      <w:r>
        <w:rPr>
          <w:rFonts w:hint="eastAsia" w:ascii="仿宋" w:hAnsi="仿宋" w:cs="仿宋"/>
          <w:bCs/>
          <w:color w:val="auto"/>
          <w:sz w:val="32"/>
          <w:szCs w:val="32"/>
          <w:highlight w:val="none"/>
          <w:lang w:val="en-US" w:eastAsia="zh-CN"/>
        </w:rPr>
        <w:t>中</w:t>
      </w:r>
      <w:r>
        <w:rPr>
          <w:rFonts w:hint="eastAsia" w:ascii="仿宋" w:hAnsi="仿宋" w:cs="仿宋"/>
          <w:bCs/>
          <w:color w:val="auto"/>
          <w:sz w:val="32"/>
          <w:szCs w:val="32"/>
          <w:highlight w:val="none"/>
        </w:rPr>
        <w:t>恪守了职业道德规范。</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（3）本报告使用人对评价结果的把握，应建立在对本报告所提供的有关评价结果的各项条件及说明进行认真阅读和理解的基础之上。</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（4）</w:t>
      </w:r>
      <w:r>
        <w:rPr>
          <w:rFonts w:hint="eastAsia" w:ascii="仿宋" w:hAnsi="仿宋" w:cs="仿宋"/>
          <w:bCs/>
          <w:color w:val="auto"/>
          <w:sz w:val="32"/>
          <w:szCs w:val="32"/>
          <w:highlight w:val="none"/>
          <w:lang w:val="en-US" w:eastAsia="zh-CN"/>
        </w:rPr>
        <w:t>黄石市下陆区市场监督管理局等单位</w:t>
      </w:r>
      <w:r>
        <w:rPr>
          <w:rFonts w:hint="eastAsia" w:ascii="仿宋" w:hAnsi="仿宋" w:cs="仿宋"/>
          <w:bCs/>
          <w:color w:val="auto"/>
          <w:sz w:val="32"/>
          <w:szCs w:val="32"/>
          <w:highlight w:val="none"/>
        </w:rPr>
        <w:t>的责任是提供与形成本项目绩效评价报告相关的基础工作材料和项目资金财务核算等相关资料，并对其真实性、合法性、完整性负责。</w:t>
      </w:r>
    </w:p>
    <w:p>
      <w:pPr>
        <w:pStyle w:val="14"/>
        <w:pageBreakBefore w:val="0"/>
        <w:kinsoku/>
        <w:wordWrap/>
        <w:overflowPunct/>
        <w:topLinePunct w:val="0"/>
        <w:autoSpaceDE/>
        <w:autoSpaceDN/>
        <w:bidi w:val="0"/>
        <w:spacing w:line="560" w:lineRule="exact"/>
        <w:ind w:left="0" w:leftChars="0" w:firstLine="640" w:firstLineChars="200"/>
        <w:textAlignment w:val="auto"/>
        <w:rPr>
          <w:rFonts w:ascii="楷体" w:hAnsi="楷体" w:eastAsia="楷体"/>
          <w:color w:val="auto"/>
          <w:kern w:val="0"/>
          <w:sz w:val="32"/>
          <w:highlight w:val="none"/>
        </w:rPr>
      </w:pPr>
      <w:r>
        <w:rPr>
          <w:rFonts w:hint="eastAsia" w:ascii="楷体" w:hAnsi="楷体" w:eastAsia="楷体"/>
          <w:color w:val="auto"/>
          <w:kern w:val="0"/>
          <w:sz w:val="32"/>
          <w:highlight w:val="none"/>
        </w:rPr>
        <w:t>2.</w:t>
      </w:r>
      <w:r>
        <w:rPr>
          <w:rFonts w:hint="eastAsia" w:ascii="楷体" w:hAnsi="楷体" w:eastAsia="楷体"/>
          <w:color w:val="auto"/>
          <w:highlight w:val="none"/>
        </w:rPr>
        <w:t xml:space="preserve"> </w:t>
      </w:r>
      <w:r>
        <w:rPr>
          <w:rFonts w:hint="eastAsia" w:ascii="楷体" w:hAnsi="楷体" w:eastAsia="楷体"/>
          <w:color w:val="auto"/>
          <w:kern w:val="0"/>
          <w:sz w:val="32"/>
          <w:highlight w:val="none"/>
        </w:rPr>
        <w:t>相关附件</w:t>
      </w:r>
    </w:p>
    <w:p>
      <w:pPr>
        <w:keepNext w:val="0"/>
        <w:keepLines w:val="0"/>
        <w:pageBreakBefore w:val="0"/>
        <w:widowControl w:val="0"/>
        <w:kinsoku/>
        <w:wordWrap/>
        <w:overflowPunct/>
        <w:topLinePunct w:val="0"/>
        <w:autoSpaceDE/>
        <w:autoSpaceDN/>
        <w:bidi w:val="0"/>
        <w:spacing w:line="560" w:lineRule="exact"/>
        <w:ind w:left="0" w:leftChars="0" w:firstLine="0" w:firstLineChars="0"/>
        <w:textAlignment w:val="auto"/>
        <w:rPr>
          <w:rFonts w:ascii="仿宋" w:hAnsi="仿宋" w:cs="仿宋"/>
          <w:color w:val="auto"/>
          <w:sz w:val="32"/>
          <w:szCs w:val="32"/>
          <w:highlight w:val="none"/>
        </w:rPr>
      </w:pPr>
      <w:r>
        <w:rPr>
          <w:rFonts w:hint="eastAsia" w:ascii="仿宋" w:hAnsi="仿宋" w:cs="仿宋"/>
          <w:color w:val="auto"/>
          <w:sz w:val="32"/>
          <w:szCs w:val="32"/>
          <w:highlight w:val="none"/>
        </w:rPr>
        <w:t>附件1、湖北省财政项目绩效评价计分结果级别评定对照表</w:t>
      </w:r>
    </w:p>
    <w:p>
      <w:pPr>
        <w:keepNext w:val="0"/>
        <w:keepLines w:val="0"/>
        <w:pageBreakBefore w:val="0"/>
        <w:widowControl w:val="0"/>
        <w:kinsoku/>
        <w:wordWrap/>
        <w:overflowPunct/>
        <w:topLinePunct w:val="0"/>
        <w:autoSpaceDE/>
        <w:autoSpaceDN/>
        <w:bidi w:val="0"/>
        <w:spacing w:line="560" w:lineRule="exact"/>
        <w:ind w:left="0" w:leftChars="0" w:firstLine="0" w:firstLineChars="0"/>
        <w:textAlignment w:val="auto"/>
        <w:rPr>
          <w:rFonts w:ascii="仿宋" w:hAnsi="仿宋" w:cs="仿宋"/>
          <w:color w:val="auto"/>
          <w:sz w:val="32"/>
          <w:szCs w:val="32"/>
          <w:highlight w:val="none"/>
        </w:rPr>
      </w:pPr>
      <w:r>
        <w:rPr>
          <w:rFonts w:hint="eastAsia" w:ascii="仿宋" w:hAnsi="仿宋" w:cs="仿宋"/>
          <w:color w:val="auto"/>
          <w:sz w:val="32"/>
          <w:szCs w:val="32"/>
          <w:highlight w:val="none"/>
        </w:rPr>
        <w:t>附件2、</w:t>
      </w:r>
      <w:r>
        <w:rPr>
          <w:rFonts w:hint="eastAsia" w:ascii="仿宋" w:hAnsi="仿宋" w:cs="仿宋"/>
          <w:color w:val="auto"/>
          <w:sz w:val="32"/>
          <w:szCs w:val="32"/>
          <w:highlight w:val="none"/>
          <w:lang w:eastAsia="zh-CN"/>
        </w:rPr>
        <w:t>黄石市下陆区市场监督管理专项经费项目</w:t>
      </w:r>
      <w:r>
        <w:rPr>
          <w:rFonts w:hint="eastAsia" w:ascii="仿宋" w:hAnsi="仿宋" w:cs="仿宋"/>
          <w:color w:val="auto"/>
          <w:sz w:val="32"/>
          <w:szCs w:val="32"/>
          <w:highlight w:val="none"/>
        </w:rPr>
        <w:t>绩效评分表</w:t>
      </w:r>
    </w:p>
    <w:p>
      <w:pPr>
        <w:keepNext w:val="0"/>
        <w:keepLines w:val="0"/>
        <w:pageBreakBefore w:val="0"/>
        <w:widowControl w:val="0"/>
        <w:kinsoku/>
        <w:wordWrap/>
        <w:overflowPunct/>
        <w:topLinePunct w:val="0"/>
        <w:autoSpaceDE/>
        <w:autoSpaceDN/>
        <w:bidi w:val="0"/>
        <w:spacing w:line="560" w:lineRule="exact"/>
        <w:ind w:left="0" w:leftChars="0" w:firstLine="0" w:firstLineChars="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附件3、绩效评价调查问卷-</w:t>
      </w:r>
      <w:r>
        <w:rPr>
          <w:rFonts w:hint="eastAsia" w:ascii="仿宋" w:hAnsi="仿宋" w:cs="仿宋"/>
          <w:color w:val="auto"/>
          <w:sz w:val="32"/>
          <w:szCs w:val="32"/>
          <w:highlight w:val="none"/>
          <w:lang w:eastAsia="zh-CN"/>
        </w:rPr>
        <w:t>黄石市下陆区市场监督管理专项经费项目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附件4、问卷调查数据整理-</w:t>
      </w:r>
      <w:r>
        <w:rPr>
          <w:rFonts w:hint="eastAsia" w:ascii="仿宋" w:hAnsi="仿宋" w:cs="仿宋"/>
          <w:color w:val="auto"/>
          <w:sz w:val="32"/>
          <w:szCs w:val="32"/>
          <w:highlight w:val="none"/>
          <w:lang w:eastAsia="zh-CN"/>
        </w:rPr>
        <w:t>黄石市下陆区市场监督管理专项经费项目</w:t>
      </w:r>
    </w:p>
    <w:p>
      <w:pPr>
        <w:pageBreakBefore w:val="0"/>
        <w:kinsoku/>
        <w:wordWrap/>
        <w:overflowPunct/>
        <w:topLinePunct w:val="0"/>
        <w:autoSpaceDE/>
        <w:autoSpaceDN/>
        <w:bidi w:val="0"/>
        <w:spacing w:line="560" w:lineRule="exact"/>
        <w:ind w:left="0" w:leftChars="0" w:firstLine="643" w:firstLineChars="200"/>
        <w:textAlignment w:val="auto"/>
        <w:rPr>
          <w:rFonts w:hint="eastAsia" w:ascii="黑体" w:hAnsi="黑体" w:eastAsia="黑体" w:cs="黑体"/>
          <w:b/>
          <w:color w:val="auto"/>
          <w:kern w:val="44"/>
          <w:sz w:val="32"/>
          <w:szCs w:val="32"/>
          <w:highlight w:val="none"/>
          <w:lang w:val="en-US" w:eastAsia="zh-CN" w:bidi="ar-SA"/>
        </w:rPr>
      </w:pPr>
      <w:r>
        <w:rPr>
          <w:rFonts w:hint="eastAsia" w:ascii="黑体" w:hAnsi="黑体" w:eastAsia="黑体" w:cs="黑体"/>
          <w:b/>
          <w:color w:val="auto"/>
          <w:kern w:val="44"/>
          <w:sz w:val="32"/>
          <w:szCs w:val="32"/>
          <w:highlight w:val="none"/>
          <w:lang w:val="en-US" w:eastAsia="zh-CN" w:bidi="ar-SA"/>
        </w:rPr>
        <w:br w:type="page"/>
      </w:r>
    </w:p>
    <w:p>
      <w:pPr>
        <w:pageBreakBefore w:val="0"/>
        <w:widowControl w:val="0"/>
        <w:numPr>
          <w:ilvl w:val="0"/>
          <w:numId w:val="3"/>
        </w:numPr>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color w:val="auto"/>
          <w:kern w:val="44"/>
          <w:sz w:val="32"/>
          <w:szCs w:val="32"/>
          <w:highlight w:val="none"/>
          <w:lang w:val="en-US" w:eastAsia="zh-CN" w:bidi="ar-SA"/>
        </w:rPr>
      </w:pPr>
      <w:r>
        <w:rPr>
          <w:rFonts w:hint="eastAsia" w:ascii="黑体" w:hAnsi="黑体" w:eastAsia="黑体" w:cs="黑体"/>
          <w:b/>
          <w:color w:val="auto"/>
          <w:kern w:val="44"/>
          <w:sz w:val="32"/>
          <w:szCs w:val="32"/>
          <w:highlight w:val="none"/>
          <w:lang w:val="en-US" w:eastAsia="zh-CN" w:bidi="ar-SA"/>
        </w:rPr>
        <w:t>原始资料</w:t>
      </w:r>
    </w:p>
    <w:p>
      <w:pPr>
        <w:pStyle w:val="3"/>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cs="仿宋"/>
          <w:color w:val="auto"/>
          <w:sz w:val="32"/>
          <w:szCs w:val="32"/>
          <w:highlight w:val="none"/>
          <w:lang w:val="en-US" w:eastAsia="zh-CN"/>
        </w:rPr>
        <w:t>1.</w:t>
      </w:r>
      <w:r>
        <w:rPr>
          <w:rFonts w:hint="eastAsia" w:ascii="仿宋" w:hAnsi="仿宋" w:eastAsia="仿宋" w:cs="仿宋"/>
          <w:color w:val="auto"/>
          <w:sz w:val="32"/>
          <w:szCs w:val="32"/>
          <w:highlight w:val="none"/>
          <w:lang w:val="en-US" w:eastAsia="zh-CN"/>
        </w:rPr>
        <w:t>《下陆区市场监督管理局职能配置、内设机构和人员编制规定》（下办文〔2019〕31号）</w:t>
      </w:r>
    </w:p>
    <w:p>
      <w:pPr>
        <w:pStyle w:val="3"/>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cs="仿宋"/>
          <w:color w:val="auto"/>
          <w:sz w:val="32"/>
          <w:szCs w:val="32"/>
          <w:highlight w:val="none"/>
          <w:lang w:val="en-US" w:eastAsia="zh-CN"/>
        </w:rPr>
        <w:t>2. 《下陆区市场监督管理局2022年项目支出绩效目标申报表》</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 《下陆区市场监督管理局2022年整体支出绩效自评报告》</w:t>
      </w:r>
    </w:p>
    <w:p>
      <w:pPr>
        <w:pStyle w:val="2"/>
        <w:pageBreakBefore w:val="0"/>
        <w:widowControl w:val="0"/>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仿宋" w:hAnsi="仿宋" w:eastAsia="仿宋" w:cs="仿宋"/>
          <w:color w:val="auto"/>
          <w:sz w:val="32"/>
          <w:szCs w:val="32"/>
          <w:highlight w:val="none"/>
          <w:lang w:val="en-US" w:eastAsia="zh-CN"/>
        </w:rPr>
      </w:pPr>
    </w:p>
    <w:sectPr>
      <w:footerReference r:id="rId6" w:type="default"/>
      <w:pgSz w:w="11906" w:h="16838"/>
      <w:pgMar w:top="2098" w:right="1474" w:bottom="1984" w:left="1587"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小标宋_GBK">
    <w:panose1 w:val="03000509000000000000"/>
    <w:charset w:val="86"/>
    <w:family w:val="roma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22412"/>
      <w:docPartObj>
        <w:docPartGallery w:val="autotext"/>
      </w:docPartObj>
    </w:sdtPr>
    <w:sdtContent>
      <w:p>
        <w:pPr>
          <w:pStyle w:val="17"/>
          <w:jc w:val="right"/>
        </w:pPr>
        <w:r>
          <w:fldChar w:fldCharType="begin"/>
        </w:r>
        <w:r>
          <w:instrText xml:space="preserve"> PAGE   \* MERGEFORMAT </w:instrText>
        </w:r>
        <w:r>
          <w:fldChar w:fldCharType="separate"/>
        </w:r>
        <w:r>
          <w:rPr>
            <w:lang w:val="zh-CN"/>
          </w:rPr>
          <w:t>-</w:t>
        </w:r>
        <w:r>
          <w:t xml:space="preserve"> 1 -</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right" w:pos="8845"/>
        <w:tab w:val="clear" w:pos="4153"/>
      </w:tabs>
      <w:rPr>
        <w:sz w:val="21"/>
        <w:szCs w:val="21"/>
      </w:rPr>
    </w:pPr>
    <w:r>
      <w:pict>
        <v:shape id="_x0000_s4099" o:spid="_x0000_s4099" o:spt="202" type="#_x0000_t202" style="position:absolute;left:0pt;margin-left:411.4pt;margin-top:-25.8pt;height:26.1pt;width:28.45pt;mso-position-horizontal-relative:margin;z-index:251659264;mso-width-relative:page;mso-height-relative:page;" filled="f" stroked="f" coordsize="21600,21600">
          <v:path/>
          <v:fill on="f" focussize="0,0"/>
          <v:stroke on="f" joinstyle="miter"/>
          <v:imagedata o:title=""/>
          <o:lock v:ext="edit"/>
          <v:textbox inset="0mm,0mm,0mm,0mm">
            <w:txbxContent>
              <w:p>
                <w:pPr>
                  <w:pStyle w:val="17"/>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PAGE  \* MERGEFORMAT </w:instrText>
                </w:r>
                <w:r>
                  <w:rPr>
                    <w:rFonts w:ascii="Times New Roman" w:hAnsi="Times New Roman"/>
                    <w:sz w:val="28"/>
                  </w:rPr>
                  <w:fldChar w:fldCharType="separate"/>
                </w:r>
                <w:r>
                  <w:rPr>
                    <w:rFonts w:ascii="Times New Roman" w:hAnsi="Times New Roman"/>
                    <w:sz w:val="28"/>
                  </w:rPr>
                  <w:t>- 2 -</w:t>
                </w:r>
                <w:r>
                  <w:rPr>
                    <w:rFonts w:ascii="Times New Roman" w:hAnsi="Times New Roman"/>
                    <w:sz w:val="2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2FA343"/>
    <w:multiLevelType w:val="singleLevel"/>
    <w:tmpl w:val="8D2FA343"/>
    <w:lvl w:ilvl="0" w:tentative="0">
      <w:start w:val="2"/>
      <w:numFmt w:val="decimal"/>
      <w:suff w:val="nothing"/>
      <w:lvlText w:val="%1、"/>
      <w:lvlJc w:val="left"/>
    </w:lvl>
  </w:abstractNum>
  <w:abstractNum w:abstractNumId="1">
    <w:nsid w:val="A762816F"/>
    <w:multiLevelType w:val="singleLevel"/>
    <w:tmpl w:val="A762816F"/>
    <w:lvl w:ilvl="0" w:tentative="0">
      <w:start w:val="1"/>
      <w:numFmt w:val="decimal"/>
      <w:suff w:val="nothing"/>
      <w:lvlText w:val="（%1）"/>
      <w:lvlJc w:val="left"/>
      <w:pPr>
        <w:ind w:left="-41"/>
      </w:pPr>
    </w:lvl>
  </w:abstractNum>
  <w:abstractNum w:abstractNumId="2">
    <w:nsid w:val="AAD02A50"/>
    <w:multiLevelType w:val="singleLevel"/>
    <w:tmpl w:val="AAD02A50"/>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GQ5MTQ4ZTkzNTAxNWU1YTk2NDE3MThhODZkMjdhZGIifQ=="/>
  </w:docVars>
  <w:rsids>
    <w:rsidRoot w:val="5BFE6DB1"/>
    <w:rsid w:val="00007324"/>
    <w:rsid w:val="00052FFD"/>
    <w:rsid w:val="000611A6"/>
    <w:rsid w:val="0006315E"/>
    <w:rsid w:val="00066310"/>
    <w:rsid w:val="00077BF0"/>
    <w:rsid w:val="00084AE7"/>
    <w:rsid w:val="00095928"/>
    <w:rsid w:val="000A4EBF"/>
    <w:rsid w:val="000A6E31"/>
    <w:rsid w:val="000A70DE"/>
    <w:rsid w:val="000C66BC"/>
    <w:rsid w:val="000D6E06"/>
    <w:rsid w:val="000E4094"/>
    <w:rsid w:val="001162FA"/>
    <w:rsid w:val="00121E3F"/>
    <w:rsid w:val="00146B30"/>
    <w:rsid w:val="00160439"/>
    <w:rsid w:val="001960BF"/>
    <w:rsid w:val="001B5FC0"/>
    <w:rsid w:val="001C7D36"/>
    <w:rsid w:val="001F5AEA"/>
    <w:rsid w:val="0021700A"/>
    <w:rsid w:val="00241E17"/>
    <w:rsid w:val="002566DB"/>
    <w:rsid w:val="00263E54"/>
    <w:rsid w:val="002935DE"/>
    <w:rsid w:val="00293615"/>
    <w:rsid w:val="00293DA4"/>
    <w:rsid w:val="002C16D6"/>
    <w:rsid w:val="00330FAA"/>
    <w:rsid w:val="0034570D"/>
    <w:rsid w:val="003464D3"/>
    <w:rsid w:val="003524DE"/>
    <w:rsid w:val="0035255D"/>
    <w:rsid w:val="003531F2"/>
    <w:rsid w:val="003539D0"/>
    <w:rsid w:val="00355A1B"/>
    <w:rsid w:val="00361505"/>
    <w:rsid w:val="003846C2"/>
    <w:rsid w:val="003858FE"/>
    <w:rsid w:val="00386C38"/>
    <w:rsid w:val="003A7BD9"/>
    <w:rsid w:val="003F48F6"/>
    <w:rsid w:val="00404811"/>
    <w:rsid w:val="00405C2C"/>
    <w:rsid w:val="00410F27"/>
    <w:rsid w:val="004115D6"/>
    <w:rsid w:val="00426386"/>
    <w:rsid w:val="00427706"/>
    <w:rsid w:val="00446510"/>
    <w:rsid w:val="004770CD"/>
    <w:rsid w:val="004A366D"/>
    <w:rsid w:val="004A47AE"/>
    <w:rsid w:val="004B14B3"/>
    <w:rsid w:val="004B155E"/>
    <w:rsid w:val="004B46E5"/>
    <w:rsid w:val="004D50DD"/>
    <w:rsid w:val="00543671"/>
    <w:rsid w:val="00547ECF"/>
    <w:rsid w:val="005531C9"/>
    <w:rsid w:val="00576044"/>
    <w:rsid w:val="0058532C"/>
    <w:rsid w:val="005A487F"/>
    <w:rsid w:val="005C4858"/>
    <w:rsid w:val="005C7821"/>
    <w:rsid w:val="005E0C8E"/>
    <w:rsid w:val="005F3D97"/>
    <w:rsid w:val="00601F84"/>
    <w:rsid w:val="00617807"/>
    <w:rsid w:val="00622259"/>
    <w:rsid w:val="00645242"/>
    <w:rsid w:val="00651817"/>
    <w:rsid w:val="006521ED"/>
    <w:rsid w:val="00660BC1"/>
    <w:rsid w:val="0068675A"/>
    <w:rsid w:val="00691CC7"/>
    <w:rsid w:val="00697799"/>
    <w:rsid w:val="00697E2F"/>
    <w:rsid w:val="006C1E59"/>
    <w:rsid w:val="006C1F8B"/>
    <w:rsid w:val="006E5B3E"/>
    <w:rsid w:val="006E75B5"/>
    <w:rsid w:val="007075FC"/>
    <w:rsid w:val="007137D4"/>
    <w:rsid w:val="00717E46"/>
    <w:rsid w:val="00732BBF"/>
    <w:rsid w:val="007405EF"/>
    <w:rsid w:val="00752AEF"/>
    <w:rsid w:val="0075497B"/>
    <w:rsid w:val="007561BA"/>
    <w:rsid w:val="00770E9D"/>
    <w:rsid w:val="00774122"/>
    <w:rsid w:val="00786F49"/>
    <w:rsid w:val="007B1F0E"/>
    <w:rsid w:val="007C3857"/>
    <w:rsid w:val="007D765A"/>
    <w:rsid w:val="007E76C7"/>
    <w:rsid w:val="007F3578"/>
    <w:rsid w:val="00802A48"/>
    <w:rsid w:val="0080535A"/>
    <w:rsid w:val="008322BB"/>
    <w:rsid w:val="0084650F"/>
    <w:rsid w:val="00847A7E"/>
    <w:rsid w:val="008639C4"/>
    <w:rsid w:val="00870B25"/>
    <w:rsid w:val="00892EDA"/>
    <w:rsid w:val="008A7164"/>
    <w:rsid w:val="008E3748"/>
    <w:rsid w:val="008E4B39"/>
    <w:rsid w:val="008F7E82"/>
    <w:rsid w:val="0090614F"/>
    <w:rsid w:val="009156AA"/>
    <w:rsid w:val="00931A88"/>
    <w:rsid w:val="00950240"/>
    <w:rsid w:val="009572D7"/>
    <w:rsid w:val="0098498B"/>
    <w:rsid w:val="00985DB4"/>
    <w:rsid w:val="00986D03"/>
    <w:rsid w:val="00996061"/>
    <w:rsid w:val="009D4196"/>
    <w:rsid w:val="009E405C"/>
    <w:rsid w:val="00A05FF6"/>
    <w:rsid w:val="00A20F40"/>
    <w:rsid w:val="00A34AB0"/>
    <w:rsid w:val="00A52AF1"/>
    <w:rsid w:val="00A70006"/>
    <w:rsid w:val="00A77905"/>
    <w:rsid w:val="00A83E34"/>
    <w:rsid w:val="00AB3D7E"/>
    <w:rsid w:val="00AC58D4"/>
    <w:rsid w:val="00AE5AAF"/>
    <w:rsid w:val="00B00EE8"/>
    <w:rsid w:val="00B15C48"/>
    <w:rsid w:val="00B60AF8"/>
    <w:rsid w:val="00BA2174"/>
    <w:rsid w:val="00BC4D0A"/>
    <w:rsid w:val="00BD1729"/>
    <w:rsid w:val="00BE1110"/>
    <w:rsid w:val="00BE1545"/>
    <w:rsid w:val="00C15A93"/>
    <w:rsid w:val="00C2182D"/>
    <w:rsid w:val="00C41EAA"/>
    <w:rsid w:val="00C61D0A"/>
    <w:rsid w:val="00C64D28"/>
    <w:rsid w:val="00C75341"/>
    <w:rsid w:val="00CC38F8"/>
    <w:rsid w:val="00CE00AA"/>
    <w:rsid w:val="00CE3B86"/>
    <w:rsid w:val="00D1387C"/>
    <w:rsid w:val="00D543FB"/>
    <w:rsid w:val="00D5663E"/>
    <w:rsid w:val="00D5699E"/>
    <w:rsid w:val="00D87E8C"/>
    <w:rsid w:val="00D93511"/>
    <w:rsid w:val="00DB133A"/>
    <w:rsid w:val="00DC0C1B"/>
    <w:rsid w:val="00DC0C44"/>
    <w:rsid w:val="00DC1107"/>
    <w:rsid w:val="00DE3995"/>
    <w:rsid w:val="00DF3A88"/>
    <w:rsid w:val="00E14173"/>
    <w:rsid w:val="00E201FB"/>
    <w:rsid w:val="00E2131E"/>
    <w:rsid w:val="00E240EE"/>
    <w:rsid w:val="00E36E3B"/>
    <w:rsid w:val="00E519FB"/>
    <w:rsid w:val="00E51F1D"/>
    <w:rsid w:val="00E55894"/>
    <w:rsid w:val="00E919BB"/>
    <w:rsid w:val="00E923FB"/>
    <w:rsid w:val="00EB0422"/>
    <w:rsid w:val="00EC1B23"/>
    <w:rsid w:val="00EC5F30"/>
    <w:rsid w:val="00ED13EB"/>
    <w:rsid w:val="00ED36C0"/>
    <w:rsid w:val="00EE0602"/>
    <w:rsid w:val="00EF10D9"/>
    <w:rsid w:val="00EF2C25"/>
    <w:rsid w:val="00F05802"/>
    <w:rsid w:val="00F134EB"/>
    <w:rsid w:val="00F44ED7"/>
    <w:rsid w:val="00F528D9"/>
    <w:rsid w:val="00F656FF"/>
    <w:rsid w:val="00F96F32"/>
    <w:rsid w:val="00FD0070"/>
    <w:rsid w:val="00FD2675"/>
    <w:rsid w:val="00FE4B2E"/>
    <w:rsid w:val="01080A12"/>
    <w:rsid w:val="01113D6B"/>
    <w:rsid w:val="011473B7"/>
    <w:rsid w:val="011E3D92"/>
    <w:rsid w:val="012242D3"/>
    <w:rsid w:val="012D25A3"/>
    <w:rsid w:val="013D404E"/>
    <w:rsid w:val="01423F24"/>
    <w:rsid w:val="01863F3E"/>
    <w:rsid w:val="019B1E99"/>
    <w:rsid w:val="01A10F4D"/>
    <w:rsid w:val="01A94543"/>
    <w:rsid w:val="01B91D0C"/>
    <w:rsid w:val="01C402E0"/>
    <w:rsid w:val="01CA4FF9"/>
    <w:rsid w:val="01E07299"/>
    <w:rsid w:val="01E368CF"/>
    <w:rsid w:val="02026FF4"/>
    <w:rsid w:val="02117F3E"/>
    <w:rsid w:val="0216715F"/>
    <w:rsid w:val="023A6831"/>
    <w:rsid w:val="02497534"/>
    <w:rsid w:val="024E06A7"/>
    <w:rsid w:val="0261019D"/>
    <w:rsid w:val="026305F6"/>
    <w:rsid w:val="02646AD1"/>
    <w:rsid w:val="02673100"/>
    <w:rsid w:val="02685154"/>
    <w:rsid w:val="026D6F6D"/>
    <w:rsid w:val="026E0D49"/>
    <w:rsid w:val="027B2619"/>
    <w:rsid w:val="027C16B8"/>
    <w:rsid w:val="027E4FEB"/>
    <w:rsid w:val="028642E4"/>
    <w:rsid w:val="02867E41"/>
    <w:rsid w:val="02A429BD"/>
    <w:rsid w:val="02AF33FB"/>
    <w:rsid w:val="02C848FD"/>
    <w:rsid w:val="02CA1054"/>
    <w:rsid w:val="02CF7A3A"/>
    <w:rsid w:val="02F63EC7"/>
    <w:rsid w:val="02FC45A7"/>
    <w:rsid w:val="03351867"/>
    <w:rsid w:val="0339443C"/>
    <w:rsid w:val="033C49A3"/>
    <w:rsid w:val="03512E01"/>
    <w:rsid w:val="03607D89"/>
    <w:rsid w:val="0370464D"/>
    <w:rsid w:val="037C7496"/>
    <w:rsid w:val="03824AAC"/>
    <w:rsid w:val="038C592B"/>
    <w:rsid w:val="039E5183"/>
    <w:rsid w:val="03A74512"/>
    <w:rsid w:val="03A82039"/>
    <w:rsid w:val="03AC7CC6"/>
    <w:rsid w:val="03C02B18"/>
    <w:rsid w:val="03C926DB"/>
    <w:rsid w:val="03D33559"/>
    <w:rsid w:val="03DD0BF2"/>
    <w:rsid w:val="03E44D1C"/>
    <w:rsid w:val="03E72B61"/>
    <w:rsid w:val="03F90AE6"/>
    <w:rsid w:val="041B73DF"/>
    <w:rsid w:val="042B5143"/>
    <w:rsid w:val="04806B11"/>
    <w:rsid w:val="048B5BE2"/>
    <w:rsid w:val="048D195A"/>
    <w:rsid w:val="049408A2"/>
    <w:rsid w:val="04A3117E"/>
    <w:rsid w:val="04A61ACB"/>
    <w:rsid w:val="04BC3FEE"/>
    <w:rsid w:val="04C609C8"/>
    <w:rsid w:val="04DA26C6"/>
    <w:rsid w:val="04E70360"/>
    <w:rsid w:val="04E92909"/>
    <w:rsid w:val="04FF3EDA"/>
    <w:rsid w:val="052027CE"/>
    <w:rsid w:val="052851DF"/>
    <w:rsid w:val="053242B0"/>
    <w:rsid w:val="05353DA0"/>
    <w:rsid w:val="05656433"/>
    <w:rsid w:val="058F23FE"/>
    <w:rsid w:val="058F525E"/>
    <w:rsid w:val="0599432F"/>
    <w:rsid w:val="05A14F91"/>
    <w:rsid w:val="05AF5900"/>
    <w:rsid w:val="05C56077"/>
    <w:rsid w:val="05DE1521"/>
    <w:rsid w:val="05DE61E6"/>
    <w:rsid w:val="05E05ABA"/>
    <w:rsid w:val="05E51322"/>
    <w:rsid w:val="05EA06E6"/>
    <w:rsid w:val="05EA4B8A"/>
    <w:rsid w:val="05FD1199"/>
    <w:rsid w:val="06035C4C"/>
    <w:rsid w:val="060C4B01"/>
    <w:rsid w:val="06190FCC"/>
    <w:rsid w:val="06361B7E"/>
    <w:rsid w:val="063A1C97"/>
    <w:rsid w:val="06604C4F"/>
    <w:rsid w:val="066435D0"/>
    <w:rsid w:val="066A1827"/>
    <w:rsid w:val="066F5090"/>
    <w:rsid w:val="067803E8"/>
    <w:rsid w:val="067F3525"/>
    <w:rsid w:val="06856661"/>
    <w:rsid w:val="069711C4"/>
    <w:rsid w:val="06AC3C62"/>
    <w:rsid w:val="06B60761"/>
    <w:rsid w:val="06B91C2F"/>
    <w:rsid w:val="06BF7DC5"/>
    <w:rsid w:val="06F76E3E"/>
    <w:rsid w:val="07195727"/>
    <w:rsid w:val="073F5190"/>
    <w:rsid w:val="074A2CCC"/>
    <w:rsid w:val="07A019A5"/>
    <w:rsid w:val="07A11279"/>
    <w:rsid w:val="07A34FF1"/>
    <w:rsid w:val="07AD5403"/>
    <w:rsid w:val="07C42D59"/>
    <w:rsid w:val="07C73702"/>
    <w:rsid w:val="08071A24"/>
    <w:rsid w:val="08096791"/>
    <w:rsid w:val="082D2605"/>
    <w:rsid w:val="08602EE2"/>
    <w:rsid w:val="089332B7"/>
    <w:rsid w:val="08947037"/>
    <w:rsid w:val="08A060F3"/>
    <w:rsid w:val="08AB6853"/>
    <w:rsid w:val="08CB2A51"/>
    <w:rsid w:val="08D613F6"/>
    <w:rsid w:val="08D62766"/>
    <w:rsid w:val="08E92ED7"/>
    <w:rsid w:val="08F221A1"/>
    <w:rsid w:val="08F4564A"/>
    <w:rsid w:val="08F4768C"/>
    <w:rsid w:val="091B505B"/>
    <w:rsid w:val="09260C87"/>
    <w:rsid w:val="09376242"/>
    <w:rsid w:val="093A1985"/>
    <w:rsid w:val="093A7BD7"/>
    <w:rsid w:val="0945297E"/>
    <w:rsid w:val="095B7EF6"/>
    <w:rsid w:val="09646481"/>
    <w:rsid w:val="096D58B6"/>
    <w:rsid w:val="096F4B7A"/>
    <w:rsid w:val="0999155E"/>
    <w:rsid w:val="09A60DC8"/>
    <w:rsid w:val="09A6701A"/>
    <w:rsid w:val="09A97D24"/>
    <w:rsid w:val="09E355A2"/>
    <w:rsid w:val="09ED69F7"/>
    <w:rsid w:val="09FD5E99"/>
    <w:rsid w:val="0A026B83"/>
    <w:rsid w:val="0A0A75A9"/>
    <w:rsid w:val="0A1641A0"/>
    <w:rsid w:val="0A304649"/>
    <w:rsid w:val="0A3665F0"/>
    <w:rsid w:val="0A397E8E"/>
    <w:rsid w:val="0A4B7CC0"/>
    <w:rsid w:val="0A4F2A65"/>
    <w:rsid w:val="0A5B7E05"/>
    <w:rsid w:val="0A5C3924"/>
    <w:rsid w:val="0A7669ED"/>
    <w:rsid w:val="0A854E82"/>
    <w:rsid w:val="0A96708F"/>
    <w:rsid w:val="0A9926DB"/>
    <w:rsid w:val="0ACC485F"/>
    <w:rsid w:val="0AEA348E"/>
    <w:rsid w:val="0AF03C9D"/>
    <w:rsid w:val="0AFF19D4"/>
    <w:rsid w:val="0B332BCD"/>
    <w:rsid w:val="0B6D5629"/>
    <w:rsid w:val="0B723658"/>
    <w:rsid w:val="0B9835AC"/>
    <w:rsid w:val="0B9A670B"/>
    <w:rsid w:val="0BBC48D3"/>
    <w:rsid w:val="0BCD6AE0"/>
    <w:rsid w:val="0BEF6A57"/>
    <w:rsid w:val="0BF277E3"/>
    <w:rsid w:val="0C037742"/>
    <w:rsid w:val="0C104C1F"/>
    <w:rsid w:val="0C122745"/>
    <w:rsid w:val="0C152235"/>
    <w:rsid w:val="0C3E79DE"/>
    <w:rsid w:val="0C4D19CF"/>
    <w:rsid w:val="0C601702"/>
    <w:rsid w:val="0C765D1C"/>
    <w:rsid w:val="0C774C9E"/>
    <w:rsid w:val="0C782EF0"/>
    <w:rsid w:val="0C873133"/>
    <w:rsid w:val="0C880C59"/>
    <w:rsid w:val="0C8F023A"/>
    <w:rsid w:val="0C93084F"/>
    <w:rsid w:val="0C9F5D64"/>
    <w:rsid w:val="0CA5180B"/>
    <w:rsid w:val="0CAB56D9"/>
    <w:rsid w:val="0CC25F19"/>
    <w:rsid w:val="0CE21C0E"/>
    <w:rsid w:val="0CEE31B2"/>
    <w:rsid w:val="0CEF2A86"/>
    <w:rsid w:val="0CF37B26"/>
    <w:rsid w:val="0CFD51A3"/>
    <w:rsid w:val="0D004C93"/>
    <w:rsid w:val="0D372EF8"/>
    <w:rsid w:val="0D70261C"/>
    <w:rsid w:val="0D8B27AF"/>
    <w:rsid w:val="0D985A2E"/>
    <w:rsid w:val="0DA10224"/>
    <w:rsid w:val="0DA6583B"/>
    <w:rsid w:val="0DEA4012"/>
    <w:rsid w:val="0DED5218"/>
    <w:rsid w:val="0DF04D08"/>
    <w:rsid w:val="0E007FDB"/>
    <w:rsid w:val="0E0F33E0"/>
    <w:rsid w:val="0E1D761F"/>
    <w:rsid w:val="0E320E7D"/>
    <w:rsid w:val="0E325320"/>
    <w:rsid w:val="0E41629B"/>
    <w:rsid w:val="0E4B409E"/>
    <w:rsid w:val="0E581951"/>
    <w:rsid w:val="0E680D42"/>
    <w:rsid w:val="0E6E1B81"/>
    <w:rsid w:val="0E746948"/>
    <w:rsid w:val="0E7476E7"/>
    <w:rsid w:val="0E883192"/>
    <w:rsid w:val="0E9062E0"/>
    <w:rsid w:val="0EA21E0A"/>
    <w:rsid w:val="0EBC15D9"/>
    <w:rsid w:val="0EE15BE2"/>
    <w:rsid w:val="0EE26D46"/>
    <w:rsid w:val="0EF425D6"/>
    <w:rsid w:val="0EF56A7A"/>
    <w:rsid w:val="0EF95E3E"/>
    <w:rsid w:val="0F0A004B"/>
    <w:rsid w:val="0F474DFC"/>
    <w:rsid w:val="0F4A1207"/>
    <w:rsid w:val="0F55473D"/>
    <w:rsid w:val="0F5D017B"/>
    <w:rsid w:val="0F5F5CA1"/>
    <w:rsid w:val="0F707EAE"/>
    <w:rsid w:val="0F806E95"/>
    <w:rsid w:val="0F882DE1"/>
    <w:rsid w:val="0F941963"/>
    <w:rsid w:val="0FB75ADD"/>
    <w:rsid w:val="0FC1748F"/>
    <w:rsid w:val="0FD42B11"/>
    <w:rsid w:val="0FEC3FE2"/>
    <w:rsid w:val="0FFA3C1C"/>
    <w:rsid w:val="1005721E"/>
    <w:rsid w:val="100C62CC"/>
    <w:rsid w:val="101E5B5C"/>
    <w:rsid w:val="101F1B29"/>
    <w:rsid w:val="102D5D9F"/>
    <w:rsid w:val="10523A58"/>
    <w:rsid w:val="10545A22"/>
    <w:rsid w:val="10784632"/>
    <w:rsid w:val="108B0D18"/>
    <w:rsid w:val="108D3190"/>
    <w:rsid w:val="1090082E"/>
    <w:rsid w:val="109F661A"/>
    <w:rsid w:val="10D601E5"/>
    <w:rsid w:val="10DB3A4D"/>
    <w:rsid w:val="10E87F18"/>
    <w:rsid w:val="10F468BD"/>
    <w:rsid w:val="1125116C"/>
    <w:rsid w:val="112F5DC6"/>
    <w:rsid w:val="1131747D"/>
    <w:rsid w:val="114A0BD3"/>
    <w:rsid w:val="11733C86"/>
    <w:rsid w:val="11765EC5"/>
    <w:rsid w:val="117E0F05"/>
    <w:rsid w:val="118B0D7C"/>
    <w:rsid w:val="11902A8A"/>
    <w:rsid w:val="11AF42F6"/>
    <w:rsid w:val="11B049D9"/>
    <w:rsid w:val="11B147AE"/>
    <w:rsid w:val="11CC4C8A"/>
    <w:rsid w:val="11E132E5"/>
    <w:rsid w:val="11E2224A"/>
    <w:rsid w:val="11E75F8C"/>
    <w:rsid w:val="11F757A1"/>
    <w:rsid w:val="12182B91"/>
    <w:rsid w:val="12307DC9"/>
    <w:rsid w:val="12327966"/>
    <w:rsid w:val="12331667"/>
    <w:rsid w:val="12377D96"/>
    <w:rsid w:val="123F5FC1"/>
    <w:rsid w:val="12413CE6"/>
    <w:rsid w:val="12415B32"/>
    <w:rsid w:val="125137DB"/>
    <w:rsid w:val="12543AB7"/>
    <w:rsid w:val="125B0153"/>
    <w:rsid w:val="12655CC4"/>
    <w:rsid w:val="12837EF9"/>
    <w:rsid w:val="12977E48"/>
    <w:rsid w:val="12CB18A0"/>
    <w:rsid w:val="12CD5791"/>
    <w:rsid w:val="12E03FEB"/>
    <w:rsid w:val="1307413E"/>
    <w:rsid w:val="13115491"/>
    <w:rsid w:val="132541A5"/>
    <w:rsid w:val="1340228E"/>
    <w:rsid w:val="138923BD"/>
    <w:rsid w:val="13921540"/>
    <w:rsid w:val="139525D9"/>
    <w:rsid w:val="139E304F"/>
    <w:rsid w:val="13EB3FA7"/>
    <w:rsid w:val="1409259B"/>
    <w:rsid w:val="140B6E42"/>
    <w:rsid w:val="14221993"/>
    <w:rsid w:val="142E7B96"/>
    <w:rsid w:val="14373691"/>
    <w:rsid w:val="143A0DE1"/>
    <w:rsid w:val="14495172"/>
    <w:rsid w:val="144E59F3"/>
    <w:rsid w:val="14641C87"/>
    <w:rsid w:val="147937A9"/>
    <w:rsid w:val="14C33176"/>
    <w:rsid w:val="14C604EF"/>
    <w:rsid w:val="14C64A14"/>
    <w:rsid w:val="14D336C8"/>
    <w:rsid w:val="14E1184E"/>
    <w:rsid w:val="14E5491C"/>
    <w:rsid w:val="14F34155"/>
    <w:rsid w:val="1505553D"/>
    <w:rsid w:val="150A2B53"/>
    <w:rsid w:val="150B6CB2"/>
    <w:rsid w:val="15442DF3"/>
    <w:rsid w:val="15590143"/>
    <w:rsid w:val="157706B1"/>
    <w:rsid w:val="157955E3"/>
    <w:rsid w:val="158F5592"/>
    <w:rsid w:val="159D2E91"/>
    <w:rsid w:val="15C54CCC"/>
    <w:rsid w:val="15D373E9"/>
    <w:rsid w:val="15E65FFF"/>
    <w:rsid w:val="16013F56"/>
    <w:rsid w:val="16023FC6"/>
    <w:rsid w:val="16183218"/>
    <w:rsid w:val="16255D30"/>
    <w:rsid w:val="162B1266"/>
    <w:rsid w:val="16351E52"/>
    <w:rsid w:val="16353C00"/>
    <w:rsid w:val="164E0355"/>
    <w:rsid w:val="166C09FE"/>
    <w:rsid w:val="166E61B7"/>
    <w:rsid w:val="167209B0"/>
    <w:rsid w:val="16783AEC"/>
    <w:rsid w:val="167F30CD"/>
    <w:rsid w:val="168615A5"/>
    <w:rsid w:val="168E1562"/>
    <w:rsid w:val="16ED6288"/>
    <w:rsid w:val="171001C9"/>
    <w:rsid w:val="171B1048"/>
    <w:rsid w:val="17395CA1"/>
    <w:rsid w:val="173B424A"/>
    <w:rsid w:val="173B6FF4"/>
    <w:rsid w:val="173D6BC5"/>
    <w:rsid w:val="175920FB"/>
    <w:rsid w:val="1763654B"/>
    <w:rsid w:val="17656D3F"/>
    <w:rsid w:val="177B7D38"/>
    <w:rsid w:val="178B7795"/>
    <w:rsid w:val="179D7CAF"/>
    <w:rsid w:val="17A0154D"/>
    <w:rsid w:val="17C074F9"/>
    <w:rsid w:val="17C37D1A"/>
    <w:rsid w:val="17C74D2B"/>
    <w:rsid w:val="17C92852"/>
    <w:rsid w:val="17D03BBE"/>
    <w:rsid w:val="17D11706"/>
    <w:rsid w:val="17D26E39"/>
    <w:rsid w:val="17E23913"/>
    <w:rsid w:val="17EB544A"/>
    <w:rsid w:val="180A2E6A"/>
    <w:rsid w:val="18135686"/>
    <w:rsid w:val="18216983"/>
    <w:rsid w:val="182E3C10"/>
    <w:rsid w:val="18364839"/>
    <w:rsid w:val="183D2675"/>
    <w:rsid w:val="18512847"/>
    <w:rsid w:val="1853036D"/>
    <w:rsid w:val="18646511"/>
    <w:rsid w:val="18653B5E"/>
    <w:rsid w:val="1897327F"/>
    <w:rsid w:val="18B339AC"/>
    <w:rsid w:val="18C87522"/>
    <w:rsid w:val="18F71640"/>
    <w:rsid w:val="18FF22A3"/>
    <w:rsid w:val="19095749"/>
    <w:rsid w:val="190D0D70"/>
    <w:rsid w:val="193C57D1"/>
    <w:rsid w:val="194A1770"/>
    <w:rsid w:val="194C6630"/>
    <w:rsid w:val="197467ED"/>
    <w:rsid w:val="197D6170"/>
    <w:rsid w:val="198C1D89"/>
    <w:rsid w:val="19950393"/>
    <w:rsid w:val="19973F5D"/>
    <w:rsid w:val="19992908"/>
    <w:rsid w:val="19DD25E4"/>
    <w:rsid w:val="19E020D4"/>
    <w:rsid w:val="19E41BC5"/>
    <w:rsid w:val="1A0851FD"/>
    <w:rsid w:val="1A0A03DC"/>
    <w:rsid w:val="1A0B10AF"/>
    <w:rsid w:val="1A3B730B"/>
    <w:rsid w:val="1ABF37E4"/>
    <w:rsid w:val="1ACE017F"/>
    <w:rsid w:val="1AE95D02"/>
    <w:rsid w:val="1AFC1A0B"/>
    <w:rsid w:val="1B0B6A26"/>
    <w:rsid w:val="1B324BB2"/>
    <w:rsid w:val="1B3B3097"/>
    <w:rsid w:val="1B455918"/>
    <w:rsid w:val="1B4755B0"/>
    <w:rsid w:val="1B6F3710"/>
    <w:rsid w:val="1BA92C8A"/>
    <w:rsid w:val="1BB43377"/>
    <w:rsid w:val="1BB43819"/>
    <w:rsid w:val="1BBD091F"/>
    <w:rsid w:val="1C04330A"/>
    <w:rsid w:val="1C1B5646"/>
    <w:rsid w:val="1C1F5136"/>
    <w:rsid w:val="1C501CC9"/>
    <w:rsid w:val="1C784846"/>
    <w:rsid w:val="1C93342E"/>
    <w:rsid w:val="1C9F1DD3"/>
    <w:rsid w:val="1CAE64BA"/>
    <w:rsid w:val="1CC967D5"/>
    <w:rsid w:val="1CD7709C"/>
    <w:rsid w:val="1CE123EB"/>
    <w:rsid w:val="1CEA5DAF"/>
    <w:rsid w:val="1D230C56"/>
    <w:rsid w:val="1D264379"/>
    <w:rsid w:val="1D345D94"/>
    <w:rsid w:val="1D525097"/>
    <w:rsid w:val="1D6C6ACD"/>
    <w:rsid w:val="1D7F4C82"/>
    <w:rsid w:val="1D801E68"/>
    <w:rsid w:val="1D9751A0"/>
    <w:rsid w:val="1DA43419"/>
    <w:rsid w:val="1DB63878"/>
    <w:rsid w:val="1DDF1FDE"/>
    <w:rsid w:val="1DFE71E1"/>
    <w:rsid w:val="1E074D87"/>
    <w:rsid w:val="1E191E74"/>
    <w:rsid w:val="1E232C64"/>
    <w:rsid w:val="1E2A152E"/>
    <w:rsid w:val="1E2B7E0D"/>
    <w:rsid w:val="1E4A5D6E"/>
    <w:rsid w:val="1E4C5F8A"/>
    <w:rsid w:val="1E62755C"/>
    <w:rsid w:val="1E6F2707"/>
    <w:rsid w:val="1E733517"/>
    <w:rsid w:val="1E74103D"/>
    <w:rsid w:val="1E7E1EBC"/>
    <w:rsid w:val="1E93220F"/>
    <w:rsid w:val="1E9845F0"/>
    <w:rsid w:val="1E9B2A6E"/>
    <w:rsid w:val="1EA5569B"/>
    <w:rsid w:val="1EB678A8"/>
    <w:rsid w:val="1EBA7398"/>
    <w:rsid w:val="1EC42711"/>
    <w:rsid w:val="1EC61CF2"/>
    <w:rsid w:val="1EE00481"/>
    <w:rsid w:val="1EE87470"/>
    <w:rsid w:val="1EE9453E"/>
    <w:rsid w:val="1EF76783"/>
    <w:rsid w:val="1F0028D1"/>
    <w:rsid w:val="1F040613"/>
    <w:rsid w:val="1F0775AE"/>
    <w:rsid w:val="1F0E1492"/>
    <w:rsid w:val="1F2E5690"/>
    <w:rsid w:val="1F31278E"/>
    <w:rsid w:val="1F3A4035"/>
    <w:rsid w:val="1F5270A7"/>
    <w:rsid w:val="1F8C56BB"/>
    <w:rsid w:val="1F9C4CF0"/>
    <w:rsid w:val="1FB76572"/>
    <w:rsid w:val="1FBB1F08"/>
    <w:rsid w:val="1FC102B2"/>
    <w:rsid w:val="1FCD7037"/>
    <w:rsid w:val="1FD00E7A"/>
    <w:rsid w:val="1FD97D75"/>
    <w:rsid w:val="1FE219A2"/>
    <w:rsid w:val="1FEC1E29"/>
    <w:rsid w:val="1FEE5B4D"/>
    <w:rsid w:val="1FF40688"/>
    <w:rsid w:val="1FFC6673"/>
    <w:rsid w:val="201B06D4"/>
    <w:rsid w:val="2020322B"/>
    <w:rsid w:val="203D4CE9"/>
    <w:rsid w:val="205729C5"/>
    <w:rsid w:val="20631369"/>
    <w:rsid w:val="20653333"/>
    <w:rsid w:val="20692E24"/>
    <w:rsid w:val="208B184A"/>
    <w:rsid w:val="209462D2"/>
    <w:rsid w:val="209B0B03"/>
    <w:rsid w:val="20A57BD4"/>
    <w:rsid w:val="20C12C17"/>
    <w:rsid w:val="20C9541F"/>
    <w:rsid w:val="20CF6B6C"/>
    <w:rsid w:val="20F87D04"/>
    <w:rsid w:val="20FD6018"/>
    <w:rsid w:val="2100305C"/>
    <w:rsid w:val="210927B1"/>
    <w:rsid w:val="210B3EDB"/>
    <w:rsid w:val="21253295"/>
    <w:rsid w:val="212B2EF8"/>
    <w:rsid w:val="213D605E"/>
    <w:rsid w:val="214A0564"/>
    <w:rsid w:val="215D04AF"/>
    <w:rsid w:val="2164183D"/>
    <w:rsid w:val="21665F3D"/>
    <w:rsid w:val="21703D3E"/>
    <w:rsid w:val="219B4EB1"/>
    <w:rsid w:val="21A7622C"/>
    <w:rsid w:val="21D1179D"/>
    <w:rsid w:val="21DA38AD"/>
    <w:rsid w:val="21ED5A20"/>
    <w:rsid w:val="21F9502E"/>
    <w:rsid w:val="2223575E"/>
    <w:rsid w:val="222443D1"/>
    <w:rsid w:val="2228286B"/>
    <w:rsid w:val="2229591A"/>
    <w:rsid w:val="223221F0"/>
    <w:rsid w:val="224A2D4B"/>
    <w:rsid w:val="225759F2"/>
    <w:rsid w:val="2288155B"/>
    <w:rsid w:val="228F4698"/>
    <w:rsid w:val="22916662"/>
    <w:rsid w:val="2295732F"/>
    <w:rsid w:val="229E2B2D"/>
    <w:rsid w:val="22A0443E"/>
    <w:rsid w:val="22A4553F"/>
    <w:rsid w:val="22A54715"/>
    <w:rsid w:val="22B10AB2"/>
    <w:rsid w:val="22B35470"/>
    <w:rsid w:val="22D24A4D"/>
    <w:rsid w:val="22D50B4C"/>
    <w:rsid w:val="22E03145"/>
    <w:rsid w:val="22E36792"/>
    <w:rsid w:val="22EE2E34"/>
    <w:rsid w:val="22FB7F7F"/>
    <w:rsid w:val="22FD3CF7"/>
    <w:rsid w:val="22FD7853"/>
    <w:rsid w:val="2304183A"/>
    <w:rsid w:val="2304279C"/>
    <w:rsid w:val="230771E2"/>
    <w:rsid w:val="232C638A"/>
    <w:rsid w:val="23333912"/>
    <w:rsid w:val="233523C6"/>
    <w:rsid w:val="23482E6A"/>
    <w:rsid w:val="2367012C"/>
    <w:rsid w:val="23766BE4"/>
    <w:rsid w:val="23791FD4"/>
    <w:rsid w:val="237D6BE6"/>
    <w:rsid w:val="23A45F21"/>
    <w:rsid w:val="23A86EA7"/>
    <w:rsid w:val="23CB7951"/>
    <w:rsid w:val="23E34C9B"/>
    <w:rsid w:val="23E630B0"/>
    <w:rsid w:val="240B41F2"/>
    <w:rsid w:val="241F6520"/>
    <w:rsid w:val="24213A15"/>
    <w:rsid w:val="24217571"/>
    <w:rsid w:val="2430799E"/>
    <w:rsid w:val="243674C1"/>
    <w:rsid w:val="2460571C"/>
    <w:rsid w:val="246D0A09"/>
    <w:rsid w:val="24753021"/>
    <w:rsid w:val="24857B00"/>
    <w:rsid w:val="249F3086"/>
    <w:rsid w:val="24B74304"/>
    <w:rsid w:val="24C7130C"/>
    <w:rsid w:val="24F0721C"/>
    <w:rsid w:val="24F86524"/>
    <w:rsid w:val="24F9229C"/>
    <w:rsid w:val="251672D8"/>
    <w:rsid w:val="253432D4"/>
    <w:rsid w:val="25381017"/>
    <w:rsid w:val="253C0A50"/>
    <w:rsid w:val="25493224"/>
    <w:rsid w:val="25535E50"/>
    <w:rsid w:val="256423B8"/>
    <w:rsid w:val="25714529"/>
    <w:rsid w:val="258B383C"/>
    <w:rsid w:val="258B55EA"/>
    <w:rsid w:val="25A50535"/>
    <w:rsid w:val="25A62424"/>
    <w:rsid w:val="25BF34E6"/>
    <w:rsid w:val="25C3757F"/>
    <w:rsid w:val="25CC606F"/>
    <w:rsid w:val="25E371D4"/>
    <w:rsid w:val="25FE0729"/>
    <w:rsid w:val="26061115"/>
    <w:rsid w:val="260D24A3"/>
    <w:rsid w:val="261A54D2"/>
    <w:rsid w:val="261C7F90"/>
    <w:rsid w:val="261F5DB8"/>
    <w:rsid w:val="263D0082"/>
    <w:rsid w:val="26467763"/>
    <w:rsid w:val="26527C90"/>
    <w:rsid w:val="26527EB6"/>
    <w:rsid w:val="26555BF8"/>
    <w:rsid w:val="265C0D35"/>
    <w:rsid w:val="26A10E3D"/>
    <w:rsid w:val="26A90EF3"/>
    <w:rsid w:val="26BD5C77"/>
    <w:rsid w:val="26CD39E1"/>
    <w:rsid w:val="26D134D1"/>
    <w:rsid w:val="26D7660D"/>
    <w:rsid w:val="26E5365D"/>
    <w:rsid w:val="26F64CE5"/>
    <w:rsid w:val="270B6448"/>
    <w:rsid w:val="270F3FF7"/>
    <w:rsid w:val="271D4220"/>
    <w:rsid w:val="271D6716"/>
    <w:rsid w:val="272A0E33"/>
    <w:rsid w:val="27313F6F"/>
    <w:rsid w:val="274526B5"/>
    <w:rsid w:val="27680FB1"/>
    <w:rsid w:val="27693709"/>
    <w:rsid w:val="27B4439C"/>
    <w:rsid w:val="27C375BA"/>
    <w:rsid w:val="27C413FC"/>
    <w:rsid w:val="27CC1EEA"/>
    <w:rsid w:val="27D05536"/>
    <w:rsid w:val="27D74B17"/>
    <w:rsid w:val="27F03E2A"/>
    <w:rsid w:val="27FE162A"/>
    <w:rsid w:val="27FF406E"/>
    <w:rsid w:val="280E605F"/>
    <w:rsid w:val="281177B6"/>
    <w:rsid w:val="28306FBE"/>
    <w:rsid w:val="28317223"/>
    <w:rsid w:val="28447C1A"/>
    <w:rsid w:val="2849377F"/>
    <w:rsid w:val="2890116A"/>
    <w:rsid w:val="28C45002"/>
    <w:rsid w:val="28C80903"/>
    <w:rsid w:val="28F33BD2"/>
    <w:rsid w:val="29056790"/>
    <w:rsid w:val="290A4A78"/>
    <w:rsid w:val="291678C1"/>
    <w:rsid w:val="291E6775"/>
    <w:rsid w:val="2940049A"/>
    <w:rsid w:val="294139FF"/>
    <w:rsid w:val="29421067"/>
    <w:rsid w:val="2946603C"/>
    <w:rsid w:val="296F219C"/>
    <w:rsid w:val="298F1421"/>
    <w:rsid w:val="29D86924"/>
    <w:rsid w:val="2A156BB2"/>
    <w:rsid w:val="2A25492C"/>
    <w:rsid w:val="2A2730C2"/>
    <w:rsid w:val="2A29084A"/>
    <w:rsid w:val="2A4915D0"/>
    <w:rsid w:val="2A5306A1"/>
    <w:rsid w:val="2A5341FD"/>
    <w:rsid w:val="2A605A4C"/>
    <w:rsid w:val="2A862824"/>
    <w:rsid w:val="2A97058D"/>
    <w:rsid w:val="2A9C2048"/>
    <w:rsid w:val="2ABC6246"/>
    <w:rsid w:val="2AC5334C"/>
    <w:rsid w:val="2AD74E2E"/>
    <w:rsid w:val="2AD839F2"/>
    <w:rsid w:val="2ADC55F5"/>
    <w:rsid w:val="2AE82B97"/>
    <w:rsid w:val="2AF41E66"/>
    <w:rsid w:val="2AF7102C"/>
    <w:rsid w:val="2AFB61EA"/>
    <w:rsid w:val="2B2D4A4E"/>
    <w:rsid w:val="2B4D650E"/>
    <w:rsid w:val="2B597F39"/>
    <w:rsid w:val="2B5E554F"/>
    <w:rsid w:val="2B626DED"/>
    <w:rsid w:val="2BA2121F"/>
    <w:rsid w:val="2BA3072A"/>
    <w:rsid w:val="2BC5112A"/>
    <w:rsid w:val="2BCF1FA9"/>
    <w:rsid w:val="2BE05E12"/>
    <w:rsid w:val="2BE710A1"/>
    <w:rsid w:val="2BF33EE9"/>
    <w:rsid w:val="2C00743F"/>
    <w:rsid w:val="2C146ED3"/>
    <w:rsid w:val="2C293467"/>
    <w:rsid w:val="2C377EE4"/>
    <w:rsid w:val="2C3C763E"/>
    <w:rsid w:val="2C804183"/>
    <w:rsid w:val="2C923702"/>
    <w:rsid w:val="2CAA5733"/>
    <w:rsid w:val="2CD5539D"/>
    <w:rsid w:val="2D046E49"/>
    <w:rsid w:val="2D0A3299"/>
    <w:rsid w:val="2D0D7A22"/>
    <w:rsid w:val="2D0F6B01"/>
    <w:rsid w:val="2D422963"/>
    <w:rsid w:val="2D572256"/>
    <w:rsid w:val="2D71156A"/>
    <w:rsid w:val="2D836CDC"/>
    <w:rsid w:val="2D9D1B3A"/>
    <w:rsid w:val="2D9E1C33"/>
    <w:rsid w:val="2DA8422C"/>
    <w:rsid w:val="2DB43614"/>
    <w:rsid w:val="2DD61195"/>
    <w:rsid w:val="2DDC4F23"/>
    <w:rsid w:val="2DE24215"/>
    <w:rsid w:val="2DE6567B"/>
    <w:rsid w:val="2DF53F49"/>
    <w:rsid w:val="2E3A5DFF"/>
    <w:rsid w:val="2E422F06"/>
    <w:rsid w:val="2E586286"/>
    <w:rsid w:val="2E60513A"/>
    <w:rsid w:val="2E680F57"/>
    <w:rsid w:val="2E8C236C"/>
    <w:rsid w:val="2E914F55"/>
    <w:rsid w:val="2E9279E9"/>
    <w:rsid w:val="2E980D78"/>
    <w:rsid w:val="2EA26F3D"/>
    <w:rsid w:val="2EA62491"/>
    <w:rsid w:val="2EC464F9"/>
    <w:rsid w:val="2ECB4CA9"/>
    <w:rsid w:val="2ED42292"/>
    <w:rsid w:val="2EE77B8E"/>
    <w:rsid w:val="2EEB0EA8"/>
    <w:rsid w:val="2EEB70FA"/>
    <w:rsid w:val="2EF55291"/>
    <w:rsid w:val="2EFC1307"/>
    <w:rsid w:val="2F04276D"/>
    <w:rsid w:val="2F0D52C2"/>
    <w:rsid w:val="2F2B399A"/>
    <w:rsid w:val="2F324D29"/>
    <w:rsid w:val="2F390790"/>
    <w:rsid w:val="2F5607A1"/>
    <w:rsid w:val="2F563E41"/>
    <w:rsid w:val="2F603644"/>
    <w:rsid w:val="2F6F1AD9"/>
    <w:rsid w:val="2FBE7CB1"/>
    <w:rsid w:val="2FC040E2"/>
    <w:rsid w:val="2FCA71FD"/>
    <w:rsid w:val="2FDA5A18"/>
    <w:rsid w:val="2FDD1D70"/>
    <w:rsid w:val="2FDE6C5E"/>
    <w:rsid w:val="2FDF1CE4"/>
    <w:rsid w:val="2FE0009C"/>
    <w:rsid w:val="2FE029D7"/>
    <w:rsid w:val="2FE74442"/>
    <w:rsid w:val="2FEC77CB"/>
    <w:rsid w:val="30185CCC"/>
    <w:rsid w:val="30281C88"/>
    <w:rsid w:val="30627EB2"/>
    <w:rsid w:val="3069046A"/>
    <w:rsid w:val="3078676B"/>
    <w:rsid w:val="30790E95"/>
    <w:rsid w:val="30822CB2"/>
    <w:rsid w:val="308A649E"/>
    <w:rsid w:val="30A17D93"/>
    <w:rsid w:val="30A45C84"/>
    <w:rsid w:val="30C776F3"/>
    <w:rsid w:val="30C95219"/>
    <w:rsid w:val="30CF136A"/>
    <w:rsid w:val="30D00144"/>
    <w:rsid w:val="30E3238A"/>
    <w:rsid w:val="30E67B79"/>
    <w:rsid w:val="30EB33E1"/>
    <w:rsid w:val="31090195"/>
    <w:rsid w:val="310C4884"/>
    <w:rsid w:val="31195E63"/>
    <w:rsid w:val="31A72F68"/>
    <w:rsid w:val="31AA6DF8"/>
    <w:rsid w:val="31BA45B6"/>
    <w:rsid w:val="31BD2FCF"/>
    <w:rsid w:val="31C205E6"/>
    <w:rsid w:val="31DC2D6D"/>
    <w:rsid w:val="31F32403"/>
    <w:rsid w:val="31F85A57"/>
    <w:rsid w:val="322A7F39"/>
    <w:rsid w:val="32364B30"/>
    <w:rsid w:val="324A05DB"/>
    <w:rsid w:val="32566F80"/>
    <w:rsid w:val="32595B29"/>
    <w:rsid w:val="32867865"/>
    <w:rsid w:val="32CE6841"/>
    <w:rsid w:val="32D3237F"/>
    <w:rsid w:val="32EE0F67"/>
    <w:rsid w:val="33030EB6"/>
    <w:rsid w:val="332C3B92"/>
    <w:rsid w:val="33380434"/>
    <w:rsid w:val="333C0FBA"/>
    <w:rsid w:val="33510202"/>
    <w:rsid w:val="337E678E"/>
    <w:rsid w:val="338A5133"/>
    <w:rsid w:val="339438A9"/>
    <w:rsid w:val="339C1E9D"/>
    <w:rsid w:val="33A95FE0"/>
    <w:rsid w:val="33C148CD"/>
    <w:rsid w:val="33D309A5"/>
    <w:rsid w:val="33E505BB"/>
    <w:rsid w:val="33EE570F"/>
    <w:rsid w:val="34182832"/>
    <w:rsid w:val="3421711A"/>
    <w:rsid w:val="34270BD4"/>
    <w:rsid w:val="34401C96"/>
    <w:rsid w:val="345D45F6"/>
    <w:rsid w:val="346516FC"/>
    <w:rsid w:val="349D49F2"/>
    <w:rsid w:val="34A00986"/>
    <w:rsid w:val="34A264AC"/>
    <w:rsid w:val="34B220A4"/>
    <w:rsid w:val="34B311A6"/>
    <w:rsid w:val="34BD5094"/>
    <w:rsid w:val="34CA155F"/>
    <w:rsid w:val="3500706D"/>
    <w:rsid w:val="3502519D"/>
    <w:rsid w:val="3520237C"/>
    <w:rsid w:val="352073D1"/>
    <w:rsid w:val="35352E46"/>
    <w:rsid w:val="355C48AD"/>
    <w:rsid w:val="356F5F3D"/>
    <w:rsid w:val="358861CB"/>
    <w:rsid w:val="35A85D44"/>
    <w:rsid w:val="35BF4E75"/>
    <w:rsid w:val="35ED7BFB"/>
    <w:rsid w:val="35F66AB0"/>
    <w:rsid w:val="3600641D"/>
    <w:rsid w:val="360147E3"/>
    <w:rsid w:val="360B0081"/>
    <w:rsid w:val="360E2FFA"/>
    <w:rsid w:val="36330102"/>
    <w:rsid w:val="36356998"/>
    <w:rsid w:val="363C648D"/>
    <w:rsid w:val="36525CB0"/>
    <w:rsid w:val="36545584"/>
    <w:rsid w:val="36717546"/>
    <w:rsid w:val="36766558"/>
    <w:rsid w:val="3699568D"/>
    <w:rsid w:val="369D6F2B"/>
    <w:rsid w:val="36B22972"/>
    <w:rsid w:val="36C175C6"/>
    <w:rsid w:val="36C546D4"/>
    <w:rsid w:val="37152F66"/>
    <w:rsid w:val="37265173"/>
    <w:rsid w:val="37377380"/>
    <w:rsid w:val="3756532C"/>
    <w:rsid w:val="37590D17"/>
    <w:rsid w:val="376E08C8"/>
    <w:rsid w:val="37796E30"/>
    <w:rsid w:val="377C2FE5"/>
    <w:rsid w:val="378E2D18"/>
    <w:rsid w:val="37912CB9"/>
    <w:rsid w:val="37A95DA4"/>
    <w:rsid w:val="37B3277F"/>
    <w:rsid w:val="37BD26D4"/>
    <w:rsid w:val="37C404E8"/>
    <w:rsid w:val="37D42E21"/>
    <w:rsid w:val="37DA4770"/>
    <w:rsid w:val="37DC1CD5"/>
    <w:rsid w:val="37DF23CF"/>
    <w:rsid w:val="37E73F09"/>
    <w:rsid w:val="37F012DD"/>
    <w:rsid w:val="3801173C"/>
    <w:rsid w:val="382C339F"/>
    <w:rsid w:val="383438BF"/>
    <w:rsid w:val="384855BD"/>
    <w:rsid w:val="385555E4"/>
    <w:rsid w:val="3867684A"/>
    <w:rsid w:val="386A108F"/>
    <w:rsid w:val="387704E9"/>
    <w:rsid w:val="388C3D57"/>
    <w:rsid w:val="388D1222"/>
    <w:rsid w:val="388D7177"/>
    <w:rsid w:val="389023FE"/>
    <w:rsid w:val="38966328"/>
    <w:rsid w:val="38A15FCE"/>
    <w:rsid w:val="38A24AD9"/>
    <w:rsid w:val="38A74091"/>
    <w:rsid w:val="38AA6CF9"/>
    <w:rsid w:val="38B642D4"/>
    <w:rsid w:val="38BC7B10"/>
    <w:rsid w:val="38CB377E"/>
    <w:rsid w:val="38D147F0"/>
    <w:rsid w:val="38D66725"/>
    <w:rsid w:val="38E4205E"/>
    <w:rsid w:val="38F35529"/>
    <w:rsid w:val="38F92413"/>
    <w:rsid w:val="390B0AC4"/>
    <w:rsid w:val="390E5EBF"/>
    <w:rsid w:val="39131727"/>
    <w:rsid w:val="3925145A"/>
    <w:rsid w:val="3934169D"/>
    <w:rsid w:val="393B1EAF"/>
    <w:rsid w:val="395064D7"/>
    <w:rsid w:val="395650D6"/>
    <w:rsid w:val="39673821"/>
    <w:rsid w:val="39677EBD"/>
    <w:rsid w:val="39700927"/>
    <w:rsid w:val="3986639D"/>
    <w:rsid w:val="39A607ED"/>
    <w:rsid w:val="39AB7BB1"/>
    <w:rsid w:val="39BB2E8F"/>
    <w:rsid w:val="39BC3B6C"/>
    <w:rsid w:val="39C01890"/>
    <w:rsid w:val="39D52E80"/>
    <w:rsid w:val="39D569DC"/>
    <w:rsid w:val="39D864CC"/>
    <w:rsid w:val="3A042348"/>
    <w:rsid w:val="3A137505"/>
    <w:rsid w:val="3A345DF9"/>
    <w:rsid w:val="3A390AA0"/>
    <w:rsid w:val="3A39639A"/>
    <w:rsid w:val="3A483652"/>
    <w:rsid w:val="3A52627F"/>
    <w:rsid w:val="3A5531D9"/>
    <w:rsid w:val="3A5B05C0"/>
    <w:rsid w:val="3A60099C"/>
    <w:rsid w:val="3A704957"/>
    <w:rsid w:val="3A7F7D1B"/>
    <w:rsid w:val="3A8C79E3"/>
    <w:rsid w:val="3AA0348E"/>
    <w:rsid w:val="3ADD1FEC"/>
    <w:rsid w:val="3AE570F3"/>
    <w:rsid w:val="3AF71EE5"/>
    <w:rsid w:val="3AFF5815"/>
    <w:rsid w:val="3B1672AC"/>
    <w:rsid w:val="3B2E2848"/>
    <w:rsid w:val="3B4007CD"/>
    <w:rsid w:val="3B40257B"/>
    <w:rsid w:val="3B650F46"/>
    <w:rsid w:val="3B673FAC"/>
    <w:rsid w:val="3B841221"/>
    <w:rsid w:val="3BA64AD4"/>
    <w:rsid w:val="3BA743A8"/>
    <w:rsid w:val="3BAC1758"/>
    <w:rsid w:val="3BAE774F"/>
    <w:rsid w:val="3BD258C9"/>
    <w:rsid w:val="3BF05D4F"/>
    <w:rsid w:val="3BF37EF0"/>
    <w:rsid w:val="3C0217FC"/>
    <w:rsid w:val="3C08753D"/>
    <w:rsid w:val="3C0D06AF"/>
    <w:rsid w:val="3C544530"/>
    <w:rsid w:val="3C677A85"/>
    <w:rsid w:val="3C690932"/>
    <w:rsid w:val="3C7C5835"/>
    <w:rsid w:val="3CA55BA0"/>
    <w:rsid w:val="3CC80A7A"/>
    <w:rsid w:val="3CF33D49"/>
    <w:rsid w:val="3CFC473A"/>
    <w:rsid w:val="3D014D50"/>
    <w:rsid w:val="3D08531B"/>
    <w:rsid w:val="3D0B460A"/>
    <w:rsid w:val="3D3842E3"/>
    <w:rsid w:val="3D3D3216"/>
    <w:rsid w:val="3D4E71D1"/>
    <w:rsid w:val="3D532A3A"/>
    <w:rsid w:val="3D712EC0"/>
    <w:rsid w:val="3D7139C0"/>
    <w:rsid w:val="3D7E2A95"/>
    <w:rsid w:val="3DA727B6"/>
    <w:rsid w:val="3DE15646"/>
    <w:rsid w:val="3E0219AF"/>
    <w:rsid w:val="3E1078AC"/>
    <w:rsid w:val="3E197F94"/>
    <w:rsid w:val="3E246184"/>
    <w:rsid w:val="3E2F4E6C"/>
    <w:rsid w:val="3E3839DE"/>
    <w:rsid w:val="3E55633E"/>
    <w:rsid w:val="3E6622F9"/>
    <w:rsid w:val="3E7C7D6E"/>
    <w:rsid w:val="3E921340"/>
    <w:rsid w:val="3E9A5F18"/>
    <w:rsid w:val="3EAD617A"/>
    <w:rsid w:val="3EAE33FB"/>
    <w:rsid w:val="3EB26A39"/>
    <w:rsid w:val="3ECC49B4"/>
    <w:rsid w:val="3EDC6A5F"/>
    <w:rsid w:val="3EF5147E"/>
    <w:rsid w:val="3F23468E"/>
    <w:rsid w:val="3F60143E"/>
    <w:rsid w:val="3F740A45"/>
    <w:rsid w:val="3FAA4467"/>
    <w:rsid w:val="3FC76DC7"/>
    <w:rsid w:val="3FC9132A"/>
    <w:rsid w:val="3FCE45FA"/>
    <w:rsid w:val="3FED6C41"/>
    <w:rsid w:val="3FF102E8"/>
    <w:rsid w:val="400224F5"/>
    <w:rsid w:val="401A1410"/>
    <w:rsid w:val="40300E10"/>
    <w:rsid w:val="403948E8"/>
    <w:rsid w:val="403D52DB"/>
    <w:rsid w:val="404D317A"/>
    <w:rsid w:val="405A40DF"/>
    <w:rsid w:val="405F16F6"/>
    <w:rsid w:val="40624D42"/>
    <w:rsid w:val="407B5A86"/>
    <w:rsid w:val="407D392A"/>
    <w:rsid w:val="409F7D44"/>
    <w:rsid w:val="40A23390"/>
    <w:rsid w:val="40A54C1A"/>
    <w:rsid w:val="40A563D5"/>
    <w:rsid w:val="40AD6EF4"/>
    <w:rsid w:val="40B824AE"/>
    <w:rsid w:val="40BC4452"/>
    <w:rsid w:val="40D75730"/>
    <w:rsid w:val="40D76E87"/>
    <w:rsid w:val="40FA2FB4"/>
    <w:rsid w:val="41401527"/>
    <w:rsid w:val="415428DD"/>
    <w:rsid w:val="41562AF9"/>
    <w:rsid w:val="415E19AD"/>
    <w:rsid w:val="4162324B"/>
    <w:rsid w:val="416B24DE"/>
    <w:rsid w:val="417411D1"/>
    <w:rsid w:val="41C0060F"/>
    <w:rsid w:val="41CE08E1"/>
    <w:rsid w:val="41DD6D76"/>
    <w:rsid w:val="41E77C57"/>
    <w:rsid w:val="41E83AD2"/>
    <w:rsid w:val="423D106D"/>
    <w:rsid w:val="4274119D"/>
    <w:rsid w:val="42786A9F"/>
    <w:rsid w:val="427F4B05"/>
    <w:rsid w:val="428E5183"/>
    <w:rsid w:val="42B82C6A"/>
    <w:rsid w:val="42C615B8"/>
    <w:rsid w:val="430F11B1"/>
    <w:rsid w:val="43370708"/>
    <w:rsid w:val="434075BC"/>
    <w:rsid w:val="43467258"/>
    <w:rsid w:val="435272F0"/>
    <w:rsid w:val="43550337"/>
    <w:rsid w:val="436458AA"/>
    <w:rsid w:val="43851473"/>
    <w:rsid w:val="43A01F6C"/>
    <w:rsid w:val="43B65AD0"/>
    <w:rsid w:val="43BB30E7"/>
    <w:rsid w:val="43C91A95"/>
    <w:rsid w:val="43EF2D90"/>
    <w:rsid w:val="44245691"/>
    <w:rsid w:val="442F3A74"/>
    <w:rsid w:val="443A16C8"/>
    <w:rsid w:val="444924A1"/>
    <w:rsid w:val="444F55DD"/>
    <w:rsid w:val="445552E9"/>
    <w:rsid w:val="446612A5"/>
    <w:rsid w:val="447B4624"/>
    <w:rsid w:val="4481074A"/>
    <w:rsid w:val="4484797D"/>
    <w:rsid w:val="44894F93"/>
    <w:rsid w:val="449855E9"/>
    <w:rsid w:val="449B6F28"/>
    <w:rsid w:val="44B71B00"/>
    <w:rsid w:val="44D37FBC"/>
    <w:rsid w:val="44E776ED"/>
    <w:rsid w:val="44FC5765"/>
    <w:rsid w:val="4508235C"/>
    <w:rsid w:val="450B1E4C"/>
    <w:rsid w:val="450D7972"/>
    <w:rsid w:val="45230F44"/>
    <w:rsid w:val="453F4772"/>
    <w:rsid w:val="45594965"/>
    <w:rsid w:val="457572C5"/>
    <w:rsid w:val="457C68A6"/>
    <w:rsid w:val="45872F39"/>
    <w:rsid w:val="45A24E60"/>
    <w:rsid w:val="45B46040"/>
    <w:rsid w:val="45C930BB"/>
    <w:rsid w:val="45F75F2C"/>
    <w:rsid w:val="460D07EE"/>
    <w:rsid w:val="46274A64"/>
    <w:rsid w:val="463B2A6B"/>
    <w:rsid w:val="465D5444"/>
    <w:rsid w:val="466E2692"/>
    <w:rsid w:val="466F0278"/>
    <w:rsid w:val="46704FD2"/>
    <w:rsid w:val="467A06A3"/>
    <w:rsid w:val="46821C9A"/>
    <w:rsid w:val="46972EF1"/>
    <w:rsid w:val="46D333B1"/>
    <w:rsid w:val="46E42955"/>
    <w:rsid w:val="46E72880"/>
    <w:rsid w:val="46F43381"/>
    <w:rsid w:val="4719454E"/>
    <w:rsid w:val="471C7624"/>
    <w:rsid w:val="474358CD"/>
    <w:rsid w:val="4746411D"/>
    <w:rsid w:val="474C71FC"/>
    <w:rsid w:val="47576447"/>
    <w:rsid w:val="47607442"/>
    <w:rsid w:val="477E06B3"/>
    <w:rsid w:val="479567AC"/>
    <w:rsid w:val="479608E9"/>
    <w:rsid w:val="47AA7CF4"/>
    <w:rsid w:val="47D26C51"/>
    <w:rsid w:val="47E66DF9"/>
    <w:rsid w:val="47F46BC7"/>
    <w:rsid w:val="4841202F"/>
    <w:rsid w:val="48541414"/>
    <w:rsid w:val="488A4681"/>
    <w:rsid w:val="48914416"/>
    <w:rsid w:val="48942742"/>
    <w:rsid w:val="48B545A9"/>
    <w:rsid w:val="48B84099"/>
    <w:rsid w:val="48D20D62"/>
    <w:rsid w:val="48D507A7"/>
    <w:rsid w:val="48D8609D"/>
    <w:rsid w:val="48F0064E"/>
    <w:rsid w:val="48F6071D"/>
    <w:rsid w:val="49227764"/>
    <w:rsid w:val="49303016"/>
    <w:rsid w:val="493508A1"/>
    <w:rsid w:val="49540398"/>
    <w:rsid w:val="495F53B6"/>
    <w:rsid w:val="496658A3"/>
    <w:rsid w:val="49DF57C2"/>
    <w:rsid w:val="49F03426"/>
    <w:rsid w:val="49F16683"/>
    <w:rsid w:val="4A0330F2"/>
    <w:rsid w:val="4A1B668D"/>
    <w:rsid w:val="4A273284"/>
    <w:rsid w:val="4A534079"/>
    <w:rsid w:val="4A630034"/>
    <w:rsid w:val="4A6F4C2B"/>
    <w:rsid w:val="4A887109"/>
    <w:rsid w:val="4AAB17DF"/>
    <w:rsid w:val="4AE85262"/>
    <w:rsid w:val="4AFB026D"/>
    <w:rsid w:val="4B35552D"/>
    <w:rsid w:val="4B3C2D5F"/>
    <w:rsid w:val="4B6206CE"/>
    <w:rsid w:val="4B7324F9"/>
    <w:rsid w:val="4B751DCD"/>
    <w:rsid w:val="4B7D6ED4"/>
    <w:rsid w:val="4B8A1D1C"/>
    <w:rsid w:val="4B8B15F1"/>
    <w:rsid w:val="4BAA067E"/>
    <w:rsid w:val="4BD016F9"/>
    <w:rsid w:val="4BD411EA"/>
    <w:rsid w:val="4BD42F98"/>
    <w:rsid w:val="4BD51A25"/>
    <w:rsid w:val="4BDE7972"/>
    <w:rsid w:val="4BF058F8"/>
    <w:rsid w:val="4C0A69B9"/>
    <w:rsid w:val="4C3E0488"/>
    <w:rsid w:val="4C467582"/>
    <w:rsid w:val="4C560219"/>
    <w:rsid w:val="4C997E63"/>
    <w:rsid w:val="4CA54934"/>
    <w:rsid w:val="4CB25E3B"/>
    <w:rsid w:val="4CCC0113"/>
    <w:rsid w:val="4CE23326"/>
    <w:rsid w:val="4CE76CFB"/>
    <w:rsid w:val="4CE94821"/>
    <w:rsid w:val="4CEE7242"/>
    <w:rsid w:val="4D1F1116"/>
    <w:rsid w:val="4D2F41FE"/>
    <w:rsid w:val="4D537EEC"/>
    <w:rsid w:val="4D6420F9"/>
    <w:rsid w:val="4DA21884"/>
    <w:rsid w:val="4DA8648A"/>
    <w:rsid w:val="4DAC250E"/>
    <w:rsid w:val="4DB17DBB"/>
    <w:rsid w:val="4DBF37D4"/>
    <w:rsid w:val="4E173610"/>
    <w:rsid w:val="4E3B5550"/>
    <w:rsid w:val="4E3E294A"/>
    <w:rsid w:val="4E8925D0"/>
    <w:rsid w:val="4EB540B9"/>
    <w:rsid w:val="4EBE7D6E"/>
    <w:rsid w:val="4ECD1F20"/>
    <w:rsid w:val="4EDC57CC"/>
    <w:rsid w:val="4EE55386"/>
    <w:rsid w:val="4EEF00E8"/>
    <w:rsid w:val="4EF80C0A"/>
    <w:rsid w:val="4F0911AA"/>
    <w:rsid w:val="4F0F42E7"/>
    <w:rsid w:val="4F136F2D"/>
    <w:rsid w:val="4F212949"/>
    <w:rsid w:val="4F2935FA"/>
    <w:rsid w:val="4F42290E"/>
    <w:rsid w:val="4F563CC4"/>
    <w:rsid w:val="4F636399"/>
    <w:rsid w:val="4F7D5C83"/>
    <w:rsid w:val="4F7D74A2"/>
    <w:rsid w:val="4F8E3A0A"/>
    <w:rsid w:val="4F9D7B44"/>
    <w:rsid w:val="4FA41C3C"/>
    <w:rsid w:val="4FC71035"/>
    <w:rsid w:val="4FDF1F0B"/>
    <w:rsid w:val="4FEE798B"/>
    <w:rsid w:val="4FF84D7B"/>
    <w:rsid w:val="5001505B"/>
    <w:rsid w:val="50015CA1"/>
    <w:rsid w:val="500B0F52"/>
    <w:rsid w:val="50123BAF"/>
    <w:rsid w:val="50463D38"/>
    <w:rsid w:val="504F7091"/>
    <w:rsid w:val="5055041F"/>
    <w:rsid w:val="505869A7"/>
    <w:rsid w:val="506348EA"/>
    <w:rsid w:val="506A211C"/>
    <w:rsid w:val="508825A3"/>
    <w:rsid w:val="50A941CF"/>
    <w:rsid w:val="50AB5B9A"/>
    <w:rsid w:val="50BE4216"/>
    <w:rsid w:val="50D003F6"/>
    <w:rsid w:val="50D21A70"/>
    <w:rsid w:val="50D6444E"/>
    <w:rsid w:val="50E40EDF"/>
    <w:rsid w:val="50E61077"/>
    <w:rsid w:val="50E94FDF"/>
    <w:rsid w:val="510460CD"/>
    <w:rsid w:val="511D0F3D"/>
    <w:rsid w:val="51306ECF"/>
    <w:rsid w:val="5148003E"/>
    <w:rsid w:val="51600E2A"/>
    <w:rsid w:val="51984A67"/>
    <w:rsid w:val="51B573C7"/>
    <w:rsid w:val="51C94C21"/>
    <w:rsid w:val="51D979AA"/>
    <w:rsid w:val="51E740EB"/>
    <w:rsid w:val="51FB3C26"/>
    <w:rsid w:val="51FE227C"/>
    <w:rsid w:val="520D7203"/>
    <w:rsid w:val="52114E30"/>
    <w:rsid w:val="52363EF8"/>
    <w:rsid w:val="523E560F"/>
    <w:rsid w:val="52483238"/>
    <w:rsid w:val="524E5126"/>
    <w:rsid w:val="525C788D"/>
    <w:rsid w:val="526112FD"/>
    <w:rsid w:val="5266638D"/>
    <w:rsid w:val="52701540"/>
    <w:rsid w:val="52903990"/>
    <w:rsid w:val="529521E8"/>
    <w:rsid w:val="52A1400C"/>
    <w:rsid w:val="52A70849"/>
    <w:rsid w:val="52D44123"/>
    <w:rsid w:val="52DC6BD6"/>
    <w:rsid w:val="52E71802"/>
    <w:rsid w:val="52E80861"/>
    <w:rsid w:val="52FF45DE"/>
    <w:rsid w:val="53077DD7"/>
    <w:rsid w:val="53370627"/>
    <w:rsid w:val="5343618F"/>
    <w:rsid w:val="538A03E0"/>
    <w:rsid w:val="538A6632"/>
    <w:rsid w:val="539E41E5"/>
    <w:rsid w:val="53BD18CA"/>
    <w:rsid w:val="53C03E02"/>
    <w:rsid w:val="53D77AC9"/>
    <w:rsid w:val="53E960D4"/>
    <w:rsid w:val="53EB70D0"/>
    <w:rsid w:val="54085ED4"/>
    <w:rsid w:val="54181E8F"/>
    <w:rsid w:val="54317472"/>
    <w:rsid w:val="54576514"/>
    <w:rsid w:val="54596730"/>
    <w:rsid w:val="547D72B6"/>
    <w:rsid w:val="548613F9"/>
    <w:rsid w:val="548968E9"/>
    <w:rsid w:val="54A836AF"/>
    <w:rsid w:val="54CA2CBB"/>
    <w:rsid w:val="54CA3A74"/>
    <w:rsid w:val="54CC26F2"/>
    <w:rsid w:val="54DB5397"/>
    <w:rsid w:val="54DC0C56"/>
    <w:rsid w:val="54EA47DE"/>
    <w:rsid w:val="54FE1085"/>
    <w:rsid w:val="55060ACF"/>
    <w:rsid w:val="550F5041"/>
    <w:rsid w:val="551E1E45"/>
    <w:rsid w:val="5523289A"/>
    <w:rsid w:val="552A59D6"/>
    <w:rsid w:val="55342CF9"/>
    <w:rsid w:val="55393E6B"/>
    <w:rsid w:val="55432F3C"/>
    <w:rsid w:val="555D3FFE"/>
    <w:rsid w:val="555D5DAC"/>
    <w:rsid w:val="55733821"/>
    <w:rsid w:val="55AF112B"/>
    <w:rsid w:val="55B177EA"/>
    <w:rsid w:val="55B915CA"/>
    <w:rsid w:val="55BB78E2"/>
    <w:rsid w:val="55C65193"/>
    <w:rsid w:val="55EB0F57"/>
    <w:rsid w:val="55FB14BD"/>
    <w:rsid w:val="55FD133D"/>
    <w:rsid w:val="55FD758F"/>
    <w:rsid w:val="560A4145"/>
    <w:rsid w:val="562D2C3C"/>
    <w:rsid w:val="56312D95"/>
    <w:rsid w:val="5637484F"/>
    <w:rsid w:val="564244DB"/>
    <w:rsid w:val="56486A5C"/>
    <w:rsid w:val="565A4B25"/>
    <w:rsid w:val="56A56043"/>
    <w:rsid w:val="56BE6D1E"/>
    <w:rsid w:val="56D54068"/>
    <w:rsid w:val="56D7393C"/>
    <w:rsid w:val="56E322E1"/>
    <w:rsid w:val="56ED315F"/>
    <w:rsid w:val="56EE32F7"/>
    <w:rsid w:val="56F57AE6"/>
    <w:rsid w:val="57104BA5"/>
    <w:rsid w:val="57127B5B"/>
    <w:rsid w:val="57165757"/>
    <w:rsid w:val="576F13A7"/>
    <w:rsid w:val="578C2978"/>
    <w:rsid w:val="57A52122"/>
    <w:rsid w:val="57AC50AC"/>
    <w:rsid w:val="57AD01B9"/>
    <w:rsid w:val="57B41ECF"/>
    <w:rsid w:val="57C87729"/>
    <w:rsid w:val="57E32964"/>
    <w:rsid w:val="57E502DB"/>
    <w:rsid w:val="57EE78C8"/>
    <w:rsid w:val="58142FC9"/>
    <w:rsid w:val="581B5AAA"/>
    <w:rsid w:val="58331046"/>
    <w:rsid w:val="583628E4"/>
    <w:rsid w:val="584B301E"/>
    <w:rsid w:val="584F05EC"/>
    <w:rsid w:val="586C27AA"/>
    <w:rsid w:val="586F2E42"/>
    <w:rsid w:val="58733B38"/>
    <w:rsid w:val="5878114F"/>
    <w:rsid w:val="58871392"/>
    <w:rsid w:val="58A20C16"/>
    <w:rsid w:val="58AE4B70"/>
    <w:rsid w:val="58B71C77"/>
    <w:rsid w:val="58B879D2"/>
    <w:rsid w:val="58BC103B"/>
    <w:rsid w:val="58DA7713"/>
    <w:rsid w:val="58E660B8"/>
    <w:rsid w:val="58EB1921"/>
    <w:rsid w:val="58F35FDF"/>
    <w:rsid w:val="58FC58DC"/>
    <w:rsid w:val="59090D3D"/>
    <w:rsid w:val="591448F5"/>
    <w:rsid w:val="591712B0"/>
    <w:rsid w:val="59184025"/>
    <w:rsid w:val="59195F2B"/>
    <w:rsid w:val="592270F5"/>
    <w:rsid w:val="592B6F24"/>
    <w:rsid w:val="594C3BA4"/>
    <w:rsid w:val="594C55F4"/>
    <w:rsid w:val="594C7EF4"/>
    <w:rsid w:val="595443DC"/>
    <w:rsid w:val="59563C67"/>
    <w:rsid w:val="595E0345"/>
    <w:rsid w:val="597F7DE2"/>
    <w:rsid w:val="59901CA4"/>
    <w:rsid w:val="59D16D68"/>
    <w:rsid w:val="59E00D5A"/>
    <w:rsid w:val="5A14373D"/>
    <w:rsid w:val="5A1C3233"/>
    <w:rsid w:val="5A2E41BB"/>
    <w:rsid w:val="5A3E4763"/>
    <w:rsid w:val="5A4A4ED9"/>
    <w:rsid w:val="5A4B6B1B"/>
    <w:rsid w:val="5A6C28CC"/>
    <w:rsid w:val="5A6C59C5"/>
    <w:rsid w:val="5A700CE7"/>
    <w:rsid w:val="5A70654E"/>
    <w:rsid w:val="5A8B0F90"/>
    <w:rsid w:val="5A8C6E2D"/>
    <w:rsid w:val="5AA955EF"/>
    <w:rsid w:val="5AB126F6"/>
    <w:rsid w:val="5ACE5056"/>
    <w:rsid w:val="5AD36B10"/>
    <w:rsid w:val="5ADD173D"/>
    <w:rsid w:val="5AF54CD9"/>
    <w:rsid w:val="5AF727FF"/>
    <w:rsid w:val="5B062A42"/>
    <w:rsid w:val="5B084A0C"/>
    <w:rsid w:val="5B092532"/>
    <w:rsid w:val="5B3475AF"/>
    <w:rsid w:val="5B3A26EB"/>
    <w:rsid w:val="5B525C87"/>
    <w:rsid w:val="5B841BB9"/>
    <w:rsid w:val="5B8A7416"/>
    <w:rsid w:val="5B94004E"/>
    <w:rsid w:val="5BAF4251"/>
    <w:rsid w:val="5BB26726"/>
    <w:rsid w:val="5BB64468"/>
    <w:rsid w:val="5BB65DB4"/>
    <w:rsid w:val="5BBE4CA3"/>
    <w:rsid w:val="5BC17FC2"/>
    <w:rsid w:val="5BC546AB"/>
    <w:rsid w:val="5BD963A8"/>
    <w:rsid w:val="5BE91183"/>
    <w:rsid w:val="5BF0749C"/>
    <w:rsid w:val="5BFE6DB1"/>
    <w:rsid w:val="5C270EC2"/>
    <w:rsid w:val="5C4750C0"/>
    <w:rsid w:val="5C583771"/>
    <w:rsid w:val="5C64411C"/>
    <w:rsid w:val="5C7308BE"/>
    <w:rsid w:val="5C741C2D"/>
    <w:rsid w:val="5C774B2B"/>
    <w:rsid w:val="5C7878F3"/>
    <w:rsid w:val="5C7A6E7F"/>
    <w:rsid w:val="5C7D4F86"/>
    <w:rsid w:val="5C9B540C"/>
    <w:rsid w:val="5CA61FE4"/>
    <w:rsid w:val="5CAA290F"/>
    <w:rsid w:val="5CE46DB3"/>
    <w:rsid w:val="5D170F36"/>
    <w:rsid w:val="5D3D148A"/>
    <w:rsid w:val="5D3F223B"/>
    <w:rsid w:val="5D444CB5"/>
    <w:rsid w:val="5D7F339F"/>
    <w:rsid w:val="5D9C6727"/>
    <w:rsid w:val="5DAA7FFC"/>
    <w:rsid w:val="5DB20C5F"/>
    <w:rsid w:val="5DC7688B"/>
    <w:rsid w:val="5DD8598C"/>
    <w:rsid w:val="5DDB01B6"/>
    <w:rsid w:val="5E084D23"/>
    <w:rsid w:val="5E2002BE"/>
    <w:rsid w:val="5E20206C"/>
    <w:rsid w:val="5E297A40"/>
    <w:rsid w:val="5E593D11"/>
    <w:rsid w:val="5E5B7E40"/>
    <w:rsid w:val="5E7B54F5"/>
    <w:rsid w:val="5E8C001D"/>
    <w:rsid w:val="5EAE07E6"/>
    <w:rsid w:val="5ECE7D1A"/>
    <w:rsid w:val="5EE0439E"/>
    <w:rsid w:val="5EE74938"/>
    <w:rsid w:val="5EEB2E89"/>
    <w:rsid w:val="5EEE3F19"/>
    <w:rsid w:val="5F16521D"/>
    <w:rsid w:val="5F1F2324"/>
    <w:rsid w:val="5F26577E"/>
    <w:rsid w:val="5F3F3148"/>
    <w:rsid w:val="5F400ED6"/>
    <w:rsid w:val="5F497D13"/>
    <w:rsid w:val="5F9849D9"/>
    <w:rsid w:val="5FAE2B8B"/>
    <w:rsid w:val="5FB23DB8"/>
    <w:rsid w:val="5FB274CE"/>
    <w:rsid w:val="5FB962D5"/>
    <w:rsid w:val="5FBC5DC5"/>
    <w:rsid w:val="5FC11F2F"/>
    <w:rsid w:val="5FD74377"/>
    <w:rsid w:val="5FDD7290"/>
    <w:rsid w:val="5FF27A39"/>
    <w:rsid w:val="5FF4730D"/>
    <w:rsid w:val="60116111"/>
    <w:rsid w:val="607D37A6"/>
    <w:rsid w:val="607E3E3A"/>
    <w:rsid w:val="608763D3"/>
    <w:rsid w:val="60AD570E"/>
    <w:rsid w:val="60AE3960"/>
    <w:rsid w:val="60B30F76"/>
    <w:rsid w:val="60CB2763"/>
    <w:rsid w:val="60DF5A39"/>
    <w:rsid w:val="60E03D35"/>
    <w:rsid w:val="60E95C7D"/>
    <w:rsid w:val="60F03697"/>
    <w:rsid w:val="610139B4"/>
    <w:rsid w:val="6110461A"/>
    <w:rsid w:val="6155202D"/>
    <w:rsid w:val="6157250F"/>
    <w:rsid w:val="615C33BC"/>
    <w:rsid w:val="617A7CE6"/>
    <w:rsid w:val="619D6A8B"/>
    <w:rsid w:val="61AA67EA"/>
    <w:rsid w:val="61C147F1"/>
    <w:rsid w:val="61CE4040"/>
    <w:rsid w:val="61D07906"/>
    <w:rsid w:val="61D46EDA"/>
    <w:rsid w:val="61DF5D9B"/>
    <w:rsid w:val="61EE67B6"/>
    <w:rsid w:val="61EF373E"/>
    <w:rsid w:val="61FA0D2D"/>
    <w:rsid w:val="61FC4B9F"/>
    <w:rsid w:val="62173786"/>
    <w:rsid w:val="622B0FE0"/>
    <w:rsid w:val="6267026A"/>
    <w:rsid w:val="62A3326C"/>
    <w:rsid w:val="62C21944"/>
    <w:rsid w:val="62C27B96"/>
    <w:rsid w:val="62C5355F"/>
    <w:rsid w:val="62D43425"/>
    <w:rsid w:val="62E21FE6"/>
    <w:rsid w:val="62F31AFE"/>
    <w:rsid w:val="62F35FA1"/>
    <w:rsid w:val="631A52DC"/>
    <w:rsid w:val="633A772C"/>
    <w:rsid w:val="63512CC8"/>
    <w:rsid w:val="63582351"/>
    <w:rsid w:val="635C2683"/>
    <w:rsid w:val="63634B23"/>
    <w:rsid w:val="63715118"/>
    <w:rsid w:val="6371516C"/>
    <w:rsid w:val="63755142"/>
    <w:rsid w:val="63861098"/>
    <w:rsid w:val="63B05C41"/>
    <w:rsid w:val="63B374DF"/>
    <w:rsid w:val="63CB3C77"/>
    <w:rsid w:val="63CC76D1"/>
    <w:rsid w:val="640F42C2"/>
    <w:rsid w:val="64292951"/>
    <w:rsid w:val="642F4DB7"/>
    <w:rsid w:val="64395C36"/>
    <w:rsid w:val="643D14BE"/>
    <w:rsid w:val="645B3BFD"/>
    <w:rsid w:val="645D67B2"/>
    <w:rsid w:val="646B4F3C"/>
    <w:rsid w:val="64A219D4"/>
    <w:rsid w:val="64E00B81"/>
    <w:rsid w:val="64E81030"/>
    <w:rsid w:val="64E9783C"/>
    <w:rsid w:val="65087045"/>
    <w:rsid w:val="652632DB"/>
    <w:rsid w:val="6535464F"/>
    <w:rsid w:val="65493C57"/>
    <w:rsid w:val="654C3747"/>
    <w:rsid w:val="654E38AB"/>
    <w:rsid w:val="656B62C3"/>
    <w:rsid w:val="656C5B97"/>
    <w:rsid w:val="657F791F"/>
    <w:rsid w:val="65864EAB"/>
    <w:rsid w:val="659F41BF"/>
    <w:rsid w:val="65B81118"/>
    <w:rsid w:val="65BE130E"/>
    <w:rsid w:val="65C854C3"/>
    <w:rsid w:val="65C94D98"/>
    <w:rsid w:val="65DF280D"/>
    <w:rsid w:val="65EE2A50"/>
    <w:rsid w:val="65F410F5"/>
    <w:rsid w:val="65F609C9"/>
    <w:rsid w:val="662427AB"/>
    <w:rsid w:val="66293A88"/>
    <w:rsid w:val="663C6FB7"/>
    <w:rsid w:val="664E34EF"/>
    <w:rsid w:val="665F56FC"/>
    <w:rsid w:val="668533B4"/>
    <w:rsid w:val="66B21CD0"/>
    <w:rsid w:val="66C75067"/>
    <w:rsid w:val="66CC1ACE"/>
    <w:rsid w:val="66DB1226"/>
    <w:rsid w:val="66F30E49"/>
    <w:rsid w:val="67087B42"/>
    <w:rsid w:val="67103FAB"/>
    <w:rsid w:val="673152EA"/>
    <w:rsid w:val="67574E8D"/>
    <w:rsid w:val="675A65EF"/>
    <w:rsid w:val="676F055B"/>
    <w:rsid w:val="67727902"/>
    <w:rsid w:val="678673E4"/>
    <w:rsid w:val="67A1260A"/>
    <w:rsid w:val="67E36959"/>
    <w:rsid w:val="67E44CCD"/>
    <w:rsid w:val="67EE31DB"/>
    <w:rsid w:val="67F51E74"/>
    <w:rsid w:val="67FD18B3"/>
    <w:rsid w:val="68273D25"/>
    <w:rsid w:val="68273FF7"/>
    <w:rsid w:val="682A1D0D"/>
    <w:rsid w:val="683B10D2"/>
    <w:rsid w:val="684939A0"/>
    <w:rsid w:val="68580655"/>
    <w:rsid w:val="68717419"/>
    <w:rsid w:val="687C724F"/>
    <w:rsid w:val="687E00BB"/>
    <w:rsid w:val="68975621"/>
    <w:rsid w:val="6898534D"/>
    <w:rsid w:val="68A903C8"/>
    <w:rsid w:val="68BC2C6B"/>
    <w:rsid w:val="68C31F72"/>
    <w:rsid w:val="68CB7079"/>
    <w:rsid w:val="68D979E8"/>
    <w:rsid w:val="68DE6DAC"/>
    <w:rsid w:val="690C20B1"/>
    <w:rsid w:val="69132EFA"/>
    <w:rsid w:val="691D372D"/>
    <w:rsid w:val="69392234"/>
    <w:rsid w:val="69423900"/>
    <w:rsid w:val="6962178B"/>
    <w:rsid w:val="6968356F"/>
    <w:rsid w:val="6985167E"/>
    <w:rsid w:val="69AB1539"/>
    <w:rsid w:val="69C4796D"/>
    <w:rsid w:val="69D33990"/>
    <w:rsid w:val="69D52819"/>
    <w:rsid w:val="69E742F5"/>
    <w:rsid w:val="69FF347E"/>
    <w:rsid w:val="6A093665"/>
    <w:rsid w:val="6A0A1A85"/>
    <w:rsid w:val="6A162576"/>
    <w:rsid w:val="6A1D29A9"/>
    <w:rsid w:val="6A2161CA"/>
    <w:rsid w:val="6A34222D"/>
    <w:rsid w:val="6A575068"/>
    <w:rsid w:val="6A5F3F1C"/>
    <w:rsid w:val="6A6E23B2"/>
    <w:rsid w:val="6A7259FE"/>
    <w:rsid w:val="6A835585"/>
    <w:rsid w:val="6A9A47C5"/>
    <w:rsid w:val="6AA14535"/>
    <w:rsid w:val="6AA165F8"/>
    <w:rsid w:val="6AB9187F"/>
    <w:rsid w:val="6AB95096"/>
    <w:rsid w:val="6AD40467"/>
    <w:rsid w:val="6B374093"/>
    <w:rsid w:val="6B443A00"/>
    <w:rsid w:val="6B453112"/>
    <w:rsid w:val="6B4E33AF"/>
    <w:rsid w:val="6B9E2823"/>
    <w:rsid w:val="6BB516AD"/>
    <w:rsid w:val="6BE26BB3"/>
    <w:rsid w:val="6BEF307E"/>
    <w:rsid w:val="6C0A4A08"/>
    <w:rsid w:val="6C0C3DFA"/>
    <w:rsid w:val="6C1D116D"/>
    <w:rsid w:val="6C2808E1"/>
    <w:rsid w:val="6C315445"/>
    <w:rsid w:val="6C6475C8"/>
    <w:rsid w:val="6C8C6B1F"/>
    <w:rsid w:val="6CA83959"/>
    <w:rsid w:val="6CBB3E9D"/>
    <w:rsid w:val="6CC30793"/>
    <w:rsid w:val="6CC62031"/>
    <w:rsid w:val="6CED5B4D"/>
    <w:rsid w:val="6D286848"/>
    <w:rsid w:val="6D413DAD"/>
    <w:rsid w:val="6D575857"/>
    <w:rsid w:val="6D7D6685"/>
    <w:rsid w:val="6D8223FC"/>
    <w:rsid w:val="6D8E2E2C"/>
    <w:rsid w:val="6DA31C56"/>
    <w:rsid w:val="6DC5053A"/>
    <w:rsid w:val="6DCA78FF"/>
    <w:rsid w:val="6DD6774E"/>
    <w:rsid w:val="6DE50BDD"/>
    <w:rsid w:val="6DF15EEA"/>
    <w:rsid w:val="6E331948"/>
    <w:rsid w:val="6E3552BE"/>
    <w:rsid w:val="6E427DDD"/>
    <w:rsid w:val="6E4715B8"/>
    <w:rsid w:val="6E510020"/>
    <w:rsid w:val="6E573888"/>
    <w:rsid w:val="6E69248F"/>
    <w:rsid w:val="6E7736BC"/>
    <w:rsid w:val="6E7B7B42"/>
    <w:rsid w:val="6E922B12"/>
    <w:rsid w:val="6EAD16FA"/>
    <w:rsid w:val="6EB345DE"/>
    <w:rsid w:val="6EDC595B"/>
    <w:rsid w:val="6F062BB9"/>
    <w:rsid w:val="6F07313C"/>
    <w:rsid w:val="6F094457"/>
    <w:rsid w:val="6F5458AC"/>
    <w:rsid w:val="6F6259A5"/>
    <w:rsid w:val="6F821826"/>
    <w:rsid w:val="6FA80B23"/>
    <w:rsid w:val="6FB72105"/>
    <w:rsid w:val="6FC04968"/>
    <w:rsid w:val="6FC5117A"/>
    <w:rsid w:val="6FE0165C"/>
    <w:rsid w:val="6FE76018"/>
    <w:rsid w:val="6FE80510"/>
    <w:rsid w:val="6FEC6252"/>
    <w:rsid w:val="700F0193"/>
    <w:rsid w:val="703A5210"/>
    <w:rsid w:val="70413A40"/>
    <w:rsid w:val="7056191E"/>
    <w:rsid w:val="70585696"/>
    <w:rsid w:val="705F2D9F"/>
    <w:rsid w:val="707108FC"/>
    <w:rsid w:val="707B23F7"/>
    <w:rsid w:val="708741CD"/>
    <w:rsid w:val="70891CF3"/>
    <w:rsid w:val="70930CB0"/>
    <w:rsid w:val="709427C9"/>
    <w:rsid w:val="709A26DE"/>
    <w:rsid w:val="70BA00FF"/>
    <w:rsid w:val="70C1148D"/>
    <w:rsid w:val="70DE3255"/>
    <w:rsid w:val="70EB650A"/>
    <w:rsid w:val="713A123F"/>
    <w:rsid w:val="71451E2D"/>
    <w:rsid w:val="7161057A"/>
    <w:rsid w:val="71664926"/>
    <w:rsid w:val="71915A52"/>
    <w:rsid w:val="71926986"/>
    <w:rsid w:val="71A60683"/>
    <w:rsid w:val="71A87876"/>
    <w:rsid w:val="71C0257C"/>
    <w:rsid w:val="71E52F59"/>
    <w:rsid w:val="71E867AC"/>
    <w:rsid w:val="71EB769B"/>
    <w:rsid w:val="720611F5"/>
    <w:rsid w:val="721239A4"/>
    <w:rsid w:val="7218206E"/>
    <w:rsid w:val="72594A22"/>
    <w:rsid w:val="726B5B54"/>
    <w:rsid w:val="72792611"/>
    <w:rsid w:val="72897D89"/>
    <w:rsid w:val="728C1627"/>
    <w:rsid w:val="728D4E6A"/>
    <w:rsid w:val="72A05E46"/>
    <w:rsid w:val="72B1108D"/>
    <w:rsid w:val="72C835DA"/>
    <w:rsid w:val="72E83F34"/>
    <w:rsid w:val="72F35B4A"/>
    <w:rsid w:val="72F378F8"/>
    <w:rsid w:val="72FC60A4"/>
    <w:rsid w:val="733817AF"/>
    <w:rsid w:val="73441F01"/>
    <w:rsid w:val="73522870"/>
    <w:rsid w:val="735A7977"/>
    <w:rsid w:val="737F73DD"/>
    <w:rsid w:val="73877C25"/>
    <w:rsid w:val="73993FFB"/>
    <w:rsid w:val="739E1612"/>
    <w:rsid w:val="73A44F2A"/>
    <w:rsid w:val="73AD55A1"/>
    <w:rsid w:val="73AE7C9B"/>
    <w:rsid w:val="73B44110"/>
    <w:rsid w:val="73CA18F0"/>
    <w:rsid w:val="73DD0E73"/>
    <w:rsid w:val="73DD3D42"/>
    <w:rsid w:val="73E22556"/>
    <w:rsid w:val="73E84F83"/>
    <w:rsid w:val="73ED07EB"/>
    <w:rsid w:val="7407365B"/>
    <w:rsid w:val="74512B28"/>
    <w:rsid w:val="7466794A"/>
    <w:rsid w:val="746707BE"/>
    <w:rsid w:val="74A72748"/>
    <w:rsid w:val="74A826C3"/>
    <w:rsid w:val="74B4507D"/>
    <w:rsid w:val="74BD1F6B"/>
    <w:rsid w:val="74D90D77"/>
    <w:rsid w:val="75045DEC"/>
    <w:rsid w:val="750C6A4F"/>
    <w:rsid w:val="7521699E"/>
    <w:rsid w:val="753612D5"/>
    <w:rsid w:val="755A2E52"/>
    <w:rsid w:val="755D3E99"/>
    <w:rsid w:val="755F193B"/>
    <w:rsid w:val="756C3663"/>
    <w:rsid w:val="75866801"/>
    <w:rsid w:val="75A210DC"/>
    <w:rsid w:val="75AA4844"/>
    <w:rsid w:val="75B90985"/>
    <w:rsid w:val="761158B3"/>
    <w:rsid w:val="761A519B"/>
    <w:rsid w:val="761D53B8"/>
    <w:rsid w:val="762027B2"/>
    <w:rsid w:val="7621477C"/>
    <w:rsid w:val="762F50EB"/>
    <w:rsid w:val="76360227"/>
    <w:rsid w:val="763C5112"/>
    <w:rsid w:val="763E532E"/>
    <w:rsid w:val="765335F9"/>
    <w:rsid w:val="7657019E"/>
    <w:rsid w:val="76592168"/>
    <w:rsid w:val="76674261"/>
    <w:rsid w:val="766A6208"/>
    <w:rsid w:val="769C1B4F"/>
    <w:rsid w:val="769E045F"/>
    <w:rsid w:val="76A827A7"/>
    <w:rsid w:val="76B37ACA"/>
    <w:rsid w:val="76BF7993"/>
    <w:rsid w:val="76DF01F6"/>
    <w:rsid w:val="76E41A31"/>
    <w:rsid w:val="76EA1012"/>
    <w:rsid w:val="76ED5DD7"/>
    <w:rsid w:val="77092C22"/>
    <w:rsid w:val="77225C69"/>
    <w:rsid w:val="7746449A"/>
    <w:rsid w:val="7748213F"/>
    <w:rsid w:val="77484D69"/>
    <w:rsid w:val="77500583"/>
    <w:rsid w:val="7755489C"/>
    <w:rsid w:val="776502A1"/>
    <w:rsid w:val="77770AF7"/>
    <w:rsid w:val="77846CDF"/>
    <w:rsid w:val="77933457"/>
    <w:rsid w:val="77A45665"/>
    <w:rsid w:val="77A47413"/>
    <w:rsid w:val="77A64252"/>
    <w:rsid w:val="77CC339C"/>
    <w:rsid w:val="77CE4048"/>
    <w:rsid w:val="77D61EDC"/>
    <w:rsid w:val="77DB38F7"/>
    <w:rsid w:val="77F379D0"/>
    <w:rsid w:val="78322C70"/>
    <w:rsid w:val="7860158C"/>
    <w:rsid w:val="786F5C73"/>
    <w:rsid w:val="787E1A12"/>
    <w:rsid w:val="789B0816"/>
    <w:rsid w:val="78B869F8"/>
    <w:rsid w:val="78C57641"/>
    <w:rsid w:val="78D930EC"/>
    <w:rsid w:val="78E8056A"/>
    <w:rsid w:val="78F64AAF"/>
    <w:rsid w:val="78FE0568"/>
    <w:rsid w:val="791B57BA"/>
    <w:rsid w:val="791C556F"/>
    <w:rsid w:val="794514C8"/>
    <w:rsid w:val="79517126"/>
    <w:rsid w:val="795B1D53"/>
    <w:rsid w:val="796450AB"/>
    <w:rsid w:val="796C332E"/>
    <w:rsid w:val="79A90D10"/>
    <w:rsid w:val="79BA116F"/>
    <w:rsid w:val="79BD2A0E"/>
    <w:rsid w:val="79C913B2"/>
    <w:rsid w:val="79D7229C"/>
    <w:rsid w:val="79DA35C0"/>
    <w:rsid w:val="79F0693F"/>
    <w:rsid w:val="79F3642F"/>
    <w:rsid w:val="79F851D5"/>
    <w:rsid w:val="79FC7092"/>
    <w:rsid w:val="79FE105C"/>
    <w:rsid w:val="7A0932AF"/>
    <w:rsid w:val="7A623539"/>
    <w:rsid w:val="7A721728"/>
    <w:rsid w:val="7A7E3F4B"/>
    <w:rsid w:val="7A844288"/>
    <w:rsid w:val="7A9B68AB"/>
    <w:rsid w:val="7AA27811"/>
    <w:rsid w:val="7AA50D1E"/>
    <w:rsid w:val="7AA70F30"/>
    <w:rsid w:val="7AE1182C"/>
    <w:rsid w:val="7AF406B1"/>
    <w:rsid w:val="7B023C16"/>
    <w:rsid w:val="7B0D7470"/>
    <w:rsid w:val="7B1F6C0C"/>
    <w:rsid w:val="7B476A33"/>
    <w:rsid w:val="7B643209"/>
    <w:rsid w:val="7B7D4202"/>
    <w:rsid w:val="7B827A6B"/>
    <w:rsid w:val="7BC03DDF"/>
    <w:rsid w:val="7BDA1655"/>
    <w:rsid w:val="7BE97AEA"/>
    <w:rsid w:val="7BEB4D04"/>
    <w:rsid w:val="7BF64461"/>
    <w:rsid w:val="7C112E25"/>
    <w:rsid w:val="7C2154D6"/>
    <w:rsid w:val="7C39281F"/>
    <w:rsid w:val="7C3E1BE4"/>
    <w:rsid w:val="7C605FFE"/>
    <w:rsid w:val="7C664B53"/>
    <w:rsid w:val="7C792C1C"/>
    <w:rsid w:val="7C855A65"/>
    <w:rsid w:val="7C9C4B5C"/>
    <w:rsid w:val="7CB225D2"/>
    <w:rsid w:val="7CDF5591"/>
    <w:rsid w:val="7CE55260"/>
    <w:rsid w:val="7D1B0177"/>
    <w:rsid w:val="7D23702C"/>
    <w:rsid w:val="7D3140B5"/>
    <w:rsid w:val="7D4E22FA"/>
    <w:rsid w:val="7D68620F"/>
    <w:rsid w:val="7D6C09D3"/>
    <w:rsid w:val="7D7215D9"/>
    <w:rsid w:val="7D87192D"/>
    <w:rsid w:val="7D9C12B8"/>
    <w:rsid w:val="7DBB7264"/>
    <w:rsid w:val="7DBE3998"/>
    <w:rsid w:val="7DE85257"/>
    <w:rsid w:val="7E0B1F99"/>
    <w:rsid w:val="7E0E1EAE"/>
    <w:rsid w:val="7E1150D6"/>
    <w:rsid w:val="7E154BC6"/>
    <w:rsid w:val="7E247357"/>
    <w:rsid w:val="7E461224"/>
    <w:rsid w:val="7E4B683A"/>
    <w:rsid w:val="7E5F3152"/>
    <w:rsid w:val="7E6A73EB"/>
    <w:rsid w:val="7E861620"/>
    <w:rsid w:val="7E88183C"/>
    <w:rsid w:val="7E992A68"/>
    <w:rsid w:val="7E9C0E44"/>
    <w:rsid w:val="7EA61CC2"/>
    <w:rsid w:val="7EC108AA"/>
    <w:rsid w:val="7EE822DB"/>
    <w:rsid w:val="7EEA76D5"/>
    <w:rsid w:val="7F092F83"/>
    <w:rsid w:val="7F10538E"/>
    <w:rsid w:val="7F233313"/>
    <w:rsid w:val="7F390D88"/>
    <w:rsid w:val="7F514D7B"/>
    <w:rsid w:val="7F6C6A68"/>
    <w:rsid w:val="7F6E0323"/>
    <w:rsid w:val="7F6F47AA"/>
    <w:rsid w:val="7F71407E"/>
    <w:rsid w:val="7F737DF6"/>
    <w:rsid w:val="7F743B6E"/>
    <w:rsid w:val="7F8D6B3F"/>
    <w:rsid w:val="7FA93A1B"/>
    <w:rsid w:val="7FBA5A25"/>
    <w:rsid w:val="7FCE2C7B"/>
    <w:rsid w:val="7FCE7723"/>
    <w:rsid w:val="7FD50540"/>
    <w:rsid w:val="7FE24F7C"/>
    <w:rsid w:val="7FE26D2A"/>
    <w:rsid w:val="7FEC5DFB"/>
    <w:rsid w:val="7FF627D5"/>
    <w:rsid w:val="7FFA50F6"/>
    <w:rsid w:val="7FFB74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eastAsia="仿宋" w:asciiTheme="minorHAnsi" w:hAnsiTheme="minorHAnsi" w:cstheme="minorBidi"/>
      <w:kern w:val="2"/>
      <w:sz w:val="28"/>
      <w:szCs w:val="24"/>
      <w:lang w:val="en-US" w:eastAsia="zh-CN" w:bidi="ar-SA"/>
    </w:rPr>
  </w:style>
  <w:style w:type="paragraph" w:styleId="4">
    <w:name w:val="heading 1"/>
    <w:basedOn w:val="1"/>
    <w:next w:val="1"/>
    <w:link w:val="31"/>
    <w:qFormat/>
    <w:uiPriority w:val="0"/>
    <w:pPr>
      <w:keepNext/>
      <w:keepLines/>
      <w:spacing w:before="340" w:after="330" w:line="576" w:lineRule="auto"/>
      <w:jc w:val="center"/>
      <w:outlineLvl w:val="0"/>
    </w:pPr>
    <w:rPr>
      <w:rFonts w:eastAsia="黑体"/>
      <w:b/>
      <w:kern w:val="44"/>
      <w:sz w:val="44"/>
    </w:rPr>
  </w:style>
  <w:style w:type="paragraph" w:styleId="5">
    <w:name w:val="heading 2"/>
    <w:basedOn w:val="1"/>
    <w:next w:val="1"/>
    <w:unhideWhenUsed/>
    <w:qFormat/>
    <w:uiPriority w:val="0"/>
    <w:pPr>
      <w:keepNext/>
      <w:keepLines/>
      <w:spacing w:before="260" w:after="260" w:line="413" w:lineRule="auto"/>
      <w:outlineLvl w:val="1"/>
    </w:pPr>
    <w:rPr>
      <w:rFonts w:ascii="Arial" w:hAnsi="Arial" w:eastAsia="宋体"/>
    </w:rPr>
  </w:style>
  <w:style w:type="paragraph" w:styleId="2">
    <w:name w:val="heading 3"/>
    <w:basedOn w:val="3"/>
    <w:next w:val="3"/>
    <w:link w:val="32"/>
    <w:unhideWhenUsed/>
    <w:qFormat/>
    <w:uiPriority w:val="0"/>
    <w:pPr>
      <w:keepNext/>
      <w:keepLines/>
      <w:spacing w:before="260" w:after="260" w:line="413" w:lineRule="auto"/>
      <w:outlineLvl w:val="2"/>
    </w:p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rPr>
  </w:style>
  <w:style w:type="paragraph" w:styleId="7">
    <w:name w:val="heading 5"/>
    <w:basedOn w:val="1"/>
    <w:next w:val="1"/>
    <w:unhideWhenUsed/>
    <w:qFormat/>
    <w:uiPriority w:val="0"/>
    <w:pPr>
      <w:keepNext/>
      <w:keepLines/>
      <w:spacing w:before="280" w:after="290" w:line="372" w:lineRule="auto"/>
      <w:outlineLvl w:val="4"/>
    </w:pPr>
    <w:rPr>
      <w:b/>
    </w:rPr>
  </w:style>
  <w:style w:type="paragraph" w:styleId="8">
    <w:name w:val="heading 6"/>
    <w:basedOn w:val="1"/>
    <w:next w:val="1"/>
    <w:unhideWhenUsed/>
    <w:qFormat/>
    <w:uiPriority w:val="0"/>
    <w:pPr>
      <w:keepNext/>
      <w:keepLines/>
      <w:spacing w:before="240" w:after="64" w:line="317" w:lineRule="auto"/>
      <w:outlineLvl w:val="5"/>
    </w:pPr>
    <w:rPr>
      <w:rFonts w:ascii="Arial" w:hAnsi="Arial" w:eastAsia="黑体"/>
      <w:b/>
      <w:sz w:val="24"/>
    </w:rPr>
  </w:style>
  <w:style w:type="paragraph" w:styleId="9">
    <w:name w:val="heading 7"/>
    <w:basedOn w:val="1"/>
    <w:next w:val="1"/>
    <w:unhideWhenUsed/>
    <w:qFormat/>
    <w:uiPriority w:val="0"/>
    <w:pPr>
      <w:keepNext/>
      <w:keepLines/>
      <w:spacing w:before="240" w:after="64" w:line="317" w:lineRule="auto"/>
      <w:outlineLvl w:val="6"/>
    </w:pPr>
    <w:rPr>
      <w:b/>
      <w:sz w:val="24"/>
    </w:rPr>
  </w:style>
  <w:style w:type="paragraph" w:styleId="10">
    <w:name w:val="heading 8"/>
    <w:basedOn w:val="1"/>
    <w:next w:val="1"/>
    <w:unhideWhenUsed/>
    <w:qFormat/>
    <w:uiPriority w:val="0"/>
    <w:pPr>
      <w:keepNext/>
      <w:keepLines/>
      <w:spacing w:before="240" w:after="64" w:line="317" w:lineRule="auto"/>
      <w:outlineLvl w:val="7"/>
    </w:pPr>
    <w:rPr>
      <w:rFonts w:ascii="Arial" w:hAnsi="Arial" w:eastAsia="黑体"/>
      <w:sz w:val="24"/>
    </w:rPr>
  </w:style>
  <w:style w:type="paragraph" w:styleId="11">
    <w:name w:val="heading 9"/>
    <w:basedOn w:val="1"/>
    <w:next w:val="1"/>
    <w:unhideWhenUsed/>
    <w:qFormat/>
    <w:uiPriority w:val="0"/>
    <w:pPr>
      <w:keepNext/>
      <w:keepLines/>
      <w:spacing w:before="240" w:after="64" w:line="317" w:lineRule="auto"/>
      <w:outlineLvl w:val="8"/>
    </w:pPr>
    <w:rPr>
      <w:rFonts w:ascii="Arial" w:hAnsi="Arial" w:eastAsia="黑体"/>
      <w:sz w:val="21"/>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200" w:leftChars="200"/>
    </w:pPr>
  </w:style>
  <w:style w:type="paragraph" w:styleId="12">
    <w:name w:val="Normal Indent"/>
    <w:basedOn w:val="1"/>
    <w:qFormat/>
    <w:uiPriority w:val="0"/>
    <w:pPr>
      <w:snapToGrid w:val="0"/>
      <w:spacing w:line="300" w:lineRule="auto"/>
      <w:ind w:firstLine="556"/>
    </w:pPr>
    <w:rPr>
      <w:rFonts w:ascii="仿宋_GB2312" w:hAnsi="Times New Roman" w:eastAsia="仿宋_GB2312" w:cs="Times New Roman"/>
      <w:szCs w:val="20"/>
    </w:rPr>
  </w:style>
  <w:style w:type="paragraph" w:styleId="13">
    <w:name w:val="annotation text"/>
    <w:basedOn w:val="1"/>
    <w:link w:val="42"/>
    <w:qFormat/>
    <w:uiPriority w:val="0"/>
    <w:pPr>
      <w:jc w:val="left"/>
    </w:pPr>
  </w:style>
  <w:style w:type="paragraph" w:styleId="14">
    <w:name w:val="Body Text"/>
    <w:basedOn w:val="1"/>
    <w:qFormat/>
    <w:uiPriority w:val="1"/>
    <w:rPr>
      <w:rFonts w:ascii="仿宋" w:hAnsi="仿宋" w:cs="仿宋"/>
      <w:szCs w:val="32"/>
      <w:lang w:val="zh-CN" w:bidi="zh-CN"/>
    </w:rPr>
  </w:style>
  <w:style w:type="paragraph" w:styleId="15">
    <w:name w:val="Body Text Indent"/>
    <w:basedOn w:val="1"/>
    <w:qFormat/>
    <w:uiPriority w:val="0"/>
    <w:pPr>
      <w:spacing w:after="120"/>
      <w:ind w:left="420" w:leftChars="200"/>
    </w:pPr>
  </w:style>
  <w:style w:type="paragraph" w:styleId="16">
    <w:name w:val="Balloon Text"/>
    <w:basedOn w:val="1"/>
    <w:link w:val="44"/>
    <w:qFormat/>
    <w:uiPriority w:val="0"/>
    <w:rPr>
      <w:sz w:val="18"/>
      <w:szCs w:val="18"/>
    </w:rPr>
  </w:style>
  <w:style w:type="paragraph" w:styleId="17">
    <w:name w:val="footer"/>
    <w:basedOn w:val="1"/>
    <w:link w:val="49"/>
    <w:qFormat/>
    <w:uiPriority w:val="99"/>
    <w:pPr>
      <w:tabs>
        <w:tab w:val="center" w:pos="4153"/>
        <w:tab w:val="right" w:pos="8306"/>
      </w:tabs>
      <w:snapToGrid w:val="0"/>
      <w:jc w:val="left"/>
    </w:pPr>
    <w:rPr>
      <w:rFonts w:eastAsia="宋体"/>
      <w:sz w:val="18"/>
    </w:rPr>
  </w:style>
  <w:style w:type="paragraph" w:styleId="1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eastAsia="宋体"/>
      <w:sz w:val="18"/>
    </w:rPr>
  </w:style>
  <w:style w:type="paragraph" w:styleId="19">
    <w:name w:val="toc 1"/>
    <w:basedOn w:val="1"/>
    <w:next w:val="1"/>
    <w:qFormat/>
    <w:uiPriority w:val="0"/>
  </w:style>
  <w:style w:type="paragraph" w:styleId="20">
    <w:name w:val="toc 2"/>
    <w:basedOn w:val="1"/>
    <w:next w:val="1"/>
    <w:qFormat/>
    <w:uiPriority w:val="0"/>
    <w:pPr>
      <w:ind w:left="420" w:leftChars="200"/>
    </w:pPr>
  </w:style>
  <w:style w:type="paragraph" w:styleId="21">
    <w:name w:val="Title"/>
    <w:basedOn w:val="1"/>
    <w:next w:val="1"/>
    <w:qFormat/>
    <w:uiPriority w:val="0"/>
    <w:pPr>
      <w:spacing w:before="240" w:after="60"/>
      <w:jc w:val="center"/>
      <w:outlineLvl w:val="0"/>
    </w:pPr>
    <w:rPr>
      <w:rFonts w:ascii="Cambria" w:hAnsi="Cambria" w:eastAsia="宋体"/>
      <w:b/>
      <w:bCs/>
      <w:szCs w:val="32"/>
    </w:rPr>
  </w:style>
  <w:style w:type="paragraph" w:styleId="22">
    <w:name w:val="annotation subject"/>
    <w:basedOn w:val="13"/>
    <w:next w:val="13"/>
    <w:link w:val="43"/>
    <w:qFormat/>
    <w:uiPriority w:val="0"/>
    <w:rPr>
      <w:b/>
      <w:bCs/>
    </w:rPr>
  </w:style>
  <w:style w:type="paragraph" w:styleId="23">
    <w:name w:val="Body Text First Indent 2"/>
    <w:basedOn w:val="15"/>
    <w:qFormat/>
    <w:uiPriority w:val="0"/>
    <w:pPr>
      <w:ind w:firstLine="42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0"/>
    <w:rPr>
      <w:b/>
    </w:rPr>
  </w:style>
  <w:style w:type="character" w:styleId="28">
    <w:name w:val="annotation reference"/>
    <w:basedOn w:val="26"/>
    <w:qFormat/>
    <w:uiPriority w:val="0"/>
    <w:rPr>
      <w:sz w:val="21"/>
      <w:szCs w:val="21"/>
    </w:rPr>
  </w:style>
  <w:style w:type="paragraph" w:customStyle="1" w:styleId="29">
    <w:name w:val="一级标题"/>
    <w:basedOn w:val="5"/>
    <w:next w:val="1"/>
    <w:qFormat/>
    <w:uiPriority w:val="0"/>
    <w:pPr>
      <w:spacing w:line="600" w:lineRule="exact"/>
      <w:jc w:val="left"/>
      <w:outlineLvl w:val="0"/>
    </w:pPr>
    <w:rPr>
      <w:rFonts w:eastAsia="黑体"/>
    </w:rPr>
  </w:style>
  <w:style w:type="paragraph" w:customStyle="1" w:styleId="30">
    <w:name w:val="二级标题"/>
    <w:basedOn w:val="2"/>
    <w:next w:val="1"/>
    <w:qFormat/>
    <w:uiPriority w:val="0"/>
    <w:pPr>
      <w:spacing w:line="600" w:lineRule="exact"/>
      <w:jc w:val="left"/>
    </w:pPr>
    <w:rPr>
      <w:rFonts w:ascii="Times New Roman" w:hAnsi="Times New Roman" w:eastAsia="楷体"/>
      <w:szCs w:val="20"/>
    </w:rPr>
  </w:style>
  <w:style w:type="character" w:customStyle="1" w:styleId="31">
    <w:name w:val="标题 1 Char"/>
    <w:link w:val="4"/>
    <w:qFormat/>
    <w:uiPriority w:val="0"/>
    <w:rPr>
      <w:rFonts w:eastAsia="黑体" w:asciiTheme="minorHAnsi" w:hAnsiTheme="minorHAnsi"/>
      <w:b/>
      <w:kern w:val="44"/>
      <w:sz w:val="44"/>
    </w:rPr>
  </w:style>
  <w:style w:type="character" w:customStyle="1" w:styleId="32">
    <w:name w:val="标题 3 Char"/>
    <w:link w:val="2"/>
    <w:qFormat/>
    <w:uiPriority w:val="0"/>
    <w:rPr>
      <w:rFonts w:eastAsia="仿宋"/>
      <w:sz w:val="32"/>
    </w:rPr>
  </w:style>
  <w:style w:type="character" w:customStyle="1" w:styleId="33">
    <w:name w:val="font21"/>
    <w:basedOn w:val="26"/>
    <w:qFormat/>
    <w:uiPriority w:val="0"/>
    <w:rPr>
      <w:rFonts w:hint="eastAsia" w:ascii="华文楷体" w:hAnsi="华文楷体" w:eastAsia="华文楷体" w:cs="华文楷体"/>
      <w:color w:val="000000"/>
      <w:sz w:val="20"/>
      <w:szCs w:val="20"/>
      <w:u w:val="none"/>
    </w:rPr>
  </w:style>
  <w:style w:type="character" w:customStyle="1" w:styleId="34">
    <w:name w:val="font91"/>
    <w:basedOn w:val="26"/>
    <w:qFormat/>
    <w:uiPriority w:val="0"/>
    <w:rPr>
      <w:rFonts w:ascii="Calibri" w:hAnsi="Calibri" w:cs="Calibri"/>
      <w:color w:val="000000"/>
      <w:sz w:val="20"/>
      <w:szCs w:val="20"/>
      <w:u w:val="none"/>
    </w:rPr>
  </w:style>
  <w:style w:type="character" w:customStyle="1" w:styleId="35">
    <w:name w:val="font41"/>
    <w:basedOn w:val="26"/>
    <w:qFormat/>
    <w:uiPriority w:val="0"/>
    <w:rPr>
      <w:rFonts w:hint="eastAsia" w:ascii="宋体" w:hAnsi="宋体" w:eastAsia="宋体" w:cs="宋体"/>
      <w:color w:val="000000"/>
      <w:sz w:val="20"/>
      <w:szCs w:val="20"/>
      <w:u w:val="none"/>
    </w:rPr>
  </w:style>
  <w:style w:type="character" w:customStyle="1" w:styleId="36">
    <w:name w:val="font71"/>
    <w:basedOn w:val="26"/>
    <w:qFormat/>
    <w:uiPriority w:val="0"/>
    <w:rPr>
      <w:rFonts w:ascii="Arial" w:hAnsi="Arial" w:cs="Arial"/>
      <w:color w:val="000000"/>
      <w:sz w:val="20"/>
      <w:szCs w:val="20"/>
      <w:u w:val="none"/>
    </w:rPr>
  </w:style>
  <w:style w:type="character" w:customStyle="1" w:styleId="37">
    <w:name w:val="font81"/>
    <w:basedOn w:val="26"/>
    <w:qFormat/>
    <w:uiPriority w:val="0"/>
    <w:rPr>
      <w:rFonts w:hint="eastAsia" w:ascii="华文楷体" w:hAnsi="华文楷体" w:eastAsia="华文楷体" w:cs="华文楷体"/>
      <w:color w:val="000000"/>
      <w:sz w:val="20"/>
      <w:szCs w:val="20"/>
      <w:u w:val="none"/>
    </w:rPr>
  </w:style>
  <w:style w:type="character" w:customStyle="1" w:styleId="38">
    <w:name w:val="font01"/>
    <w:basedOn w:val="26"/>
    <w:qFormat/>
    <w:uiPriority w:val="0"/>
    <w:rPr>
      <w:rFonts w:hint="eastAsia" w:ascii="宋体" w:hAnsi="宋体" w:eastAsia="宋体" w:cs="宋体"/>
      <w:color w:val="000000"/>
      <w:sz w:val="20"/>
      <w:szCs w:val="20"/>
      <w:u w:val="none"/>
    </w:rPr>
  </w:style>
  <w:style w:type="character" w:customStyle="1" w:styleId="39">
    <w:name w:val="font51"/>
    <w:basedOn w:val="26"/>
    <w:qFormat/>
    <w:uiPriority w:val="0"/>
    <w:rPr>
      <w:rFonts w:ascii="Arial" w:hAnsi="Arial" w:cs="Arial"/>
      <w:color w:val="000000"/>
      <w:sz w:val="20"/>
      <w:szCs w:val="20"/>
      <w:u w:val="none"/>
    </w:rPr>
  </w:style>
  <w:style w:type="paragraph" w:customStyle="1" w:styleId="40">
    <w:name w:val="WPSOffice手动目录 1"/>
    <w:qFormat/>
    <w:uiPriority w:val="0"/>
    <w:rPr>
      <w:rFonts w:ascii="Times New Roman" w:hAnsi="Times New Roman" w:eastAsia="宋体" w:cs="Times New Roman"/>
      <w:lang w:val="en-US" w:eastAsia="zh-CN" w:bidi="ar-SA"/>
    </w:rPr>
  </w:style>
  <w:style w:type="paragraph" w:customStyle="1" w:styleId="41">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42">
    <w:name w:val="批注文字 Char"/>
    <w:basedOn w:val="26"/>
    <w:link w:val="13"/>
    <w:qFormat/>
    <w:uiPriority w:val="0"/>
    <w:rPr>
      <w:rFonts w:eastAsia="仿宋"/>
      <w:kern w:val="2"/>
      <w:sz w:val="32"/>
      <w:szCs w:val="24"/>
    </w:rPr>
  </w:style>
  <w:style w:type="character" w:customStyle="1" w:styleId="43">
    <w:name w:val="批注主题 Char"/>
    <w:basedOn w:val="42"/>
    <w:link w:val="22"/>
    <w:qFormat/>
    <w:uiPriority w:val="0"/>
    <w:rPr>
      <w:rFonts w:eastAsia="仿宋"/>
      <w:b/>
      <w:bCs/>
      <w:kern w:val="2"/>
      <w:sz w:val="32"/>
      <w:szCs w:val="24"/>
    </w:rPr>
  </w:style>
  <w:style w:type="character" w:customStyle="1" w:styleId="44">
    <w:name w:val="批注框文本 Char"/>
    <w:basedOn w:val="26"/>
    <w:link w:val="16"/>
    <w:qFormat/>
    <w:uiPriority w:val="0"/>
    <w:rPr>
      <w:rFonts w:eastAsia="仿宋"/>
      <w:kern w:val="2"/>
      <w:sz w:val="18"/>
      <w:szCs w:val="18"/>
    </w:rPr>
  </w:style>
  <w:style w:type="character" w:customStyle="1" w:styleId="45">
    <w:name w:val="font31"/>
    <w:basedOn w:val="26"/>
    <w:qFormat/>
    <w:uiPriority w:val="0"/>
    <w:rPr>
      <w:rFonts w:hint="eastAsia" w:ascii="宋体" w:hAnsi="宋体" w:eastAsia="宋体" w:cs="宋体"/>
      <w:color w:val="000000"/>
      <w:sz w:val="20"/>
      <w:szCs w:val="20"/>
      <w:u w:val="none"/>
    </w:rPr>
  </w:style>
  <w:style w:type="character" w:customStyle="1" w:styleId="46">
    <w:name w:val="Char Char"/>
    <w:basedOn w:val="26"/>
    <w:qFormat/>
    <w:uiPriority w:val="6"/>
    <w:rPr>
      <w:sz w:val="18"/>
    </w:rPr>
  </w:style>
  <w:style w:type="paragraph" w:customStyle="1" w:styleId="47">
    <w:name w:val="正文1"/>
    <w:basedOn w:val="1"/>
    <w:qFormat/>
    <w:uiPriority w:val="3"/>
    <w:pPr>
      <w:widowControl/>
      <w:spacing w:line="240" w:lineRule="auto"/>
    </w:pPr>
    <w:rPr>
      <w:rFonts w:ascii="Times New Roman" w:hAnsi="Times New Roman" w:eastAsia="Times New Roman" w:cs="Times New Roman"/>
      <w:kern w:val="0"/>
      <w:sz w:val="21"/>
      <w:szCs w:val="20"/>
      <w:lang w:val="zh-CN"/>
    </w:rPr>
  </w:style>
  <w:style w:type="paragraph" w:styleId="48">
    <w:name w:val="List Paragraph"/>
    <w:basedOn w:val="1"/>
    <w:qFormat/>
    <w:uiPriority w:val="99"/>
    <w:pPr>
      <w:ind w:firstLine="420" w:firstLineChars="200"/>
    </w:pPr>
  </w:style>
  <w:style w:type="character" w:customStyle="1" w:styleId="49">
    <w:name w:val="页脚 Char"/>
    <w:basedOn w:val="26"/>
    <w:link w:val="17"/>
    <w:qFormat/>
    <w:uiPriority w:val="99"/>
    <w:rPr>
      <w:rFonts w:asciiTheme="minorHAnsi" w:hAnsiTheme="minorHAnsi" w:cstheme="minorBid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4A642D-2C1D-46B5-81F7-4FD1335B34F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9954</Words>
  <Characters>10633</Characters>
  <Lines>83</Lines>
  <Paragraphs>23</Paragraphs>
  <TotalTime>30</TotalTime>
  <ScaleCrop>false</ScaleCrop>
  <LinksUpToDate>false</LinksUpToDate>
  <CharactersWithSpaces>10839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2020-08-17T06:26:00Z</dcterms:created>
  <dc:creator>HGZ</dc:creator>
  <cp:lastModifiedBy>bobopanda1427639071</cp:lastModifiedBy>
  <cp:lastPrinted>2020-08-27T01:16:00Z</cp:lastPrinted>
  <dcterms:modified xsi:type="dcterms:W3CDTF">2024-04-23T09:25:05Z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331B455720714AC58D7D44055E458E7D</vt:lpwstr>
  </property>
</Properties>
</file>