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58CDF">
      <w:pPr>
        <w:pStyle w:val="2"/>
        <w:widowControl/>
        <w:spacing w:beforeAutospacing="0" w:afterAutospacing="0" w:line="600" w:lineRule="atLeast"/>
        <w:jc w:val="center"/>
        <w:rPr>
          <w:rFonts w:hint="default"/>
          <w:color w:val="003366"/>
          <w:sz w:val="36"/>
          <w:szCs w:val="36"/>
        </w:rPr>
      </w:pPr>
      <w:r>
        <w:rPr>
          <w:color w:val="auto"/>
          <w:sz w:val="36"/>
          <w:szCs w:val="36"/>
        </w:rPr>
        <w:t>下陆区招商服务中心202</w:t>
      </w:r>
      <w:r>
        <w:rPr>
          <w:rFonts w:hint="eastAsia"/>
          <w:color w:val="auto"/>
          <w:sz w:val="36"/>
          <w:szCs w:val="36"/>
          <w:lang w:val="en-US" w:eastAsia="zh-CN"/>
        </w:rPr>
        <w:t>2</w:t>
      </w:r>
      <w:r>
        <w:rPr>
          <w:color w:val="auto"/>
          <w:sz w:val="36"/>
          <w:szCs w:val="36"/>
        </w:rPr>
        <w:t>年决算公开</w:t>
      </w:r>
    </w:p>
    <w:p w14:paraId="2477411B">
      <w:pPr>
        <w:widowControl/>
        <w:spacing w:line="420" w:lineRule="atLeast"/>
        <w:jc w:val="center"/>
        <w:rPr>
          <w:szCs w:val="21"/>
        </w:rPr>
      </w:pPr>
      <w:r>
        <w:rPr>
          <w:rStyle w:val="9"/>
          <w:rFonts w:ascii="宋体" w:hAnsi="宋体" w:eastAsia="宋体" w:cs="宋体"/>
          <w:kern w:val="0"/>
          <w:sz w:val="33"/>
          <w:szCs w:val="33"/>
        </w:rPr>
        <w:t>目 　　 录</w:t>
      </w:r>
    </w:p>
    <w:p w14:paraId="596D74D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420" w:firstLineChars="200"/>
        <w:jc w:val="both"/>
        <w:textAlignment w:val="auto"/>
        <w:outlineLvl w:val="9"/>
        <w:rPr>
          <w:rFonts w:hint="default" w:ascii="宋体" w:hAnsi="宋体" w:eastAsia="宋体" w:cs="宋体"/>
          <w:bCs/>
          <w:sz w:val="28"/>
          <w:szCs w:val="28"/>
          <w:highlight w:val="none"/>
          <w:rtl w:val="0"/>
          <w:lang w:val="en-US" w:eastAsia="zh-CN"/>
        </w:rPr>
      </w:pPr>
      <w:r>
        <w:rPr>
          <w:rFonts w:ascii="宋体" w:hAnsi="宋体" w:eastAsia="宋体" w:cs="宋体"/>
          <w:kern w:val="0"/>
          <w:szCs w:val="21"/>
        </w:rPr>
        <w:t> </w:t>
      </w:r>
      <w:r>
        <w:rPr>
          <w:rFonts w:ascii="宋体" w:hAnsi="宋体" w:eastAsia="宋体" w:cs="宋体"/>
          <w:kern w:val="0"/>
          <w:szCs w:val="21"/>
        </w:rPr>
        <w:br w:type="textWrapping"/>
      </w:r>
      <w:r>
        <w:rPr>
          <w:rFonts w:ascii="Arial" w:hAnsi="Arial" w:eastAsia="宋体" w:cs="Arial"/>
          <w:b/>
          <w:bCs/>
          <w:color w:val="000000"/>
          <w:kern w:val="0"/>
          <w:sz w:val="27"/>
        </w:rPr>
        <w:t>第一部分:</w:t>
      </w:r>
      <w:r>
        <w:rPr>
          <w:rFonts w:hint="eastAsia" w:ascii="Arial" w:hAnsi="Arial" w:eastAsia="宋体" w:cs="Arial"/>
          <w:b/>
          <w:bCs/>
          <w:color w:val="000000"/>
          <w:kern w:val="0"/>
          <w:sz w:val="27"/>
          <w:lang w:eastAsia="zh-CN"/>
        </w:rPr>
        <w:t>下陆区招商服务中心</w:t>
      </w:r>
      <w:r>
        <w:rPr>
          <w:rFonts w:hint="eastAsia" w:ascii="Arial" w:hAnsi="Arial" w:eastAsia="宋体" w:cs="Arial"/>
          <w:b/>
          <w:bCs/>
          <w:color w:val="000000"/>
          <w:kern w:val="0"/>
          <w:sz w:val="27"/>
          <w:rtl w:val="0"/>
          <w:lang w:eastAsia="zh-CN"/>
        </w:rPr>
        <w:t>概况</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ascii="Arial" w:hAnsi="Arial" w:eastAsia="宋体" w:cs="Arial"/>
          <w:color w:val="000000"/>
          <w:kern w:val="0"/>
          <w:sz w:val="27"/>
          <w:szCs w:val="27"/>
        </w:rPr>
        <w:t> 一、部门主要职责</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ascii="Arial" w:hAnsi="Arial" w:eastAsia="宋体" w:cs="Arial"/>
          <w:color w:val="000000"/>
          <w:kern w:val="0"/>
          <w:sz w:val="27"/>
          <w:szCs w:val="27"/>
        </w:rPr>
        <w:t> 二、部门机构设置情况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w:t>
      </w:r>
      <w:r>
        <w:rPr>
          <w:rFonts w:ascii="Arial" w:hAnsi="Arial" w:eastAsia="宋体" w:cs="Arial"/>
          <w:color w:val="000000"/>
          <w:kern w:val="0"/>
          <w:sz w:val="27"/>
          <w:szCs w:val="27"/>
        </w:rPr>
        <w:t>: </w:t>
      </w:r>
      <w:r>
        <w:rPr>
          <w:rFonts w:hint="eastAsia" w:ascii="Arial" w:hAnsi="Arial" w:eastAsia="宋体" w:cs="Arial"/>
          <w:b/>
          <w:bCs/>
          <w:color w:val="000000"/>
          <w:kern w:val="0"/>
          <w:sz w:val="27"/>
          <w:lang w:eastAsia="zh-CN"/>
        </w:rPr>
        <w:t>下陆区招商服务中心</w:t>
      </w:r>
      <w:r>
        <w:rPr>
          <w:rFonts w:ascii="Arial" w:hAnsi="Arial" w:eastAsia="宋体" w:cs="Arial"/>
          <w:b/>
          <w:bCs/>
          <w:color w:val="000000"/>
          <w:kern w:val="0"/>
          <w:sz w:val="27"/>
        </w:rPr>
        <w:t>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hint="eastAsia" w:ascii="宋体" w:hAnsi="宋体" w:eastAsia="宋体" w:cs="宋体"/>
          <w:bCs/>
          <w:sz w:val="28"/>
          <w:szCs w:val="28"/>
          <w:highlight w:val="none"/>
          <w:rtl w:val="0"/>
          <w:lang w:val="en-US" w:eastAsia="zh-CN"/>
        </w:rPr>
        <w:t>一、收入支出决算总表</w:t>
      </w:r>
    </w:p>
    <w:p w14:paraId="3374B5A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5DF3FDF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5B95D33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4FB386D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797606D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6471594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1A64B2C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1EC8DD7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59" w:leftChars="266" w:right="-512" w:rightChars="-244" w:firstLine="0" w:firstLineChars="0"/>
        <w:jc w:val="left"/>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4C653C5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42" w:right="-512" w:rightChars="-244" w:hanging="542" w:hangingChars="200"/>
        <w:jc w:val="left"/>
        <w:textAlignment w:val="auto"/>
        <w:outlineLvl w:val="9"/>
        <w:rPr>
          <w:rFonts w:hint="eastAsia" w:ascii="宋体" w:hAnsi="宋体" w:eastAsia="宋体" w:cs="宋体"/>
          <w:bCs/>
          <w:sz w:val="28"/>
          <w:szCs w:val="28"/>
          <w:highlight w:val="none"/>
          <w:rtl w:val="0"/>
          <w:lang w:val="en-US" w:eastAsia="zh-CN"/>
        </w:rPr>
      </w:pPr>
      <w:r>
        <w:rPr>
          <w:rFonts w:ascii="Arial" w:hAnsi="Arial" w:eastAsia="宋体" w:cs="Arial"/>
          <w:b/>
          <w:bCs/>
          <w:color w:val="000000"/>
          <w:kern w:val="0"/>
          <w:sz w:val="27"/>
        </w:rPr>
        <w:t>第三部分：</w:t>
      </w:r>
      <w:r>
        <w:rPr>
          <w:rFonts w:hint="eastAsia" w:ascii="Arial" w:hAnsi="Arial" w:eastAsia="宋体" w:cs="Arial"/>
          <w:b/>
          <w:bCs/>
          <w:color w:val="000000"/>
          <w:kern w:val="0"/>
          <w:sz w:val="27"/>
          <w:lang w:eastAsia="zh-CN"/>
        </w:rPr>
        <w:t>下陆区招商服务中心</w:t>
      </w:r>
      <w:r>
        <w:rPr>
          <w:rFonts w:ascii="Arial" w:hAnsi="Arial" w:eastAsia="宋体" w:cs="Arial"/>
          <w:b/>
          <w:bCs/>
          <w:color w:val="000000"/>
          <w:kern w:val="0"/>
          <w:sz w:val="27"/>
        </w:rPr>
        <w:t>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年部门决算情况说明</w:t>
      </w:r>
      <w:r>
        <w:rPr>
          <w:rFonts w:ascii="Arial" w:hAnsi="Arial" w:eastAsia="宋体" w:cs="Arial"/>
          <w:b/>
          <w:bCs/>
          <w:color w:val="000000"/>
          <w:kern w:val="0"/>
          <w:sz w:val="27"/>
        </w:rPr>
        <w:br w:type="textWrapping"/>
      </w:r>
      <w:r>
        <w:rPr>
          <w:rFonts w:hint="eastAsia" w:ascii="Arial" w:hAnsi="Arial" w:eastAsia="宋体" w:cs="Arial"/>
          <w:b/>
          <w:bCs/>
          <w:color w:val="000000"/>
          <w:kern w:val="0"/>
          <w:sz w:val="27"/>
          <w:rtl w:val="0"/>
          <w:lang w:val="en-US" w:eastAsia="zh-CN"/>
        </w:rPr>
        <w:t>一、</w:t>
      </w:r>
      <w:r>
        <w:rPr>
          <w:rFonts w:hint="eastAsia" w:ascii="宋体" w:hAnsi="宋体" w:eastAsia="宋体" w:cs="宋体"/>
          <w:bCs/>
          <w:sz w:val="28"/>
          <w:szCs w:val="28"/>
          <w:highlight w:val="none"/>
          <w:rtl w:val="0"/>
          <w:lang w:val="en-US" w:eastAsia="zh-CN"/>
        </w:rPr>
        <w:t>收入支出决算总体情况说明</w:t>
      </w:r>
    </w:p>
    <w:p w14:paraId="09218D6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4809685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3423287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37B9B9C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07E6CF5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39E8450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七、政府性基金预算财政拨款收入支出决算情况说明 </w:t>
      </w:r>
    </w:p>
    <w:p w14:paraId="60F6C33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八、国有资本经营预算财政拨款支出决算情况说明 </w:t>
      </w:r>
    </w:p>
    <w:p w14:paraId="4A4B9A8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27CBBBA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14945D2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2F74876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3980C9B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582ABD2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1550235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42" w:firstLineChars="200"/>
        <w:jc w:val="both"/>
        <w:textAlignment w:val="auto"/>
        <w:outlineLvl w:val="9"/>
        <w:rPr>
          <w:rFonts w:ascii="Arial" w:hAnsi="Arial" w:eastAsia="宋体" w:cs="Arial"/>
          <w:color w:val="000000"/>
          <w:kern w:val="0"/>
          <w:szCs w:val="21"/>
        </w:rPr>
      </w:pPr>
      <w:r>
        <w:rPr>
          <w:rFonts w:ascii="Arial" w:hAnsi="Arial" w:eastAsia="宋体" w:cs="Arial"/>
          <w:b/>
          <w:bCs/>
          <w:color w:val="000000"/>
          <w:kern w:val="0"/>
          <w:sz w:val="27"/>
        </w:rPr>
        <w:t>第四部分、名词解释</w:t>
      </w:r>
    </w:p>
    <w:p w14:paraId="4B855183">
      <w:pPr>
        <w:widowControl/>
        <w:spacing w:before="300" w:line="420" w:lineRule="atLeast"/>
        <w:jc w:val="left"/>
        <w:rPr>
          <w:rStyle w:val="9"/>
          <w:rFonts w:ascii="宋体" w:hAnsi="宋体" w:eastAsia="宋体" w:cs="宋体"/>
          <w:kern w:val="0"/>
          <w:sz w:val="28"/>
          <w:szCs w:val="28"/>
        </w:rPr>
      </w:pPr>
    </w:p>
    <w:p w14:paraId="18668C91">
      <w:pPr>
        <w:widowControl/>
        <w:spacing w:line="420" w:lineRule="atLeast"/>
        <w:jc w:val="center"/>
        <w:rPr>
          <w:rFonts w:ascii="宋体" w:hAnsi="宋体" w:eastAsia="宋体" w:cs="宋体"/>
          <w:b/>
          <w:bCs/>
          <w:kern w:val="0"/>
          <w:sz w:val="30"/>
          <w:szCs w:val="30"/>
        </w:rPr>
      </w:pPr>
    </w:p>
    <w:p w14:paraId="14AEA640">
      <w:pPr>
        <w:widowControl/>
        <w:spacing w:line="420" w:lineRule="atLeast"/>
        <w:jc w:val="center"/>
        <w:rPr>
          <w:rFonts w:ascii="宋体" w:hAnsi="宋体" w:eastAsia="宋体" w:cs="宋体"/>
          <w:b/>
          <w:bCs/>
          <w:kern w:val="0"/>
          <w:sz w:val="30"/>
          <w:szCs w:val="30"/>
        </w:rPr>
      </w:pPr>
    </w:p>
    <w:p w14:paraId="5EE35202">
      <w:pPr>
        <w:keepNext w:val="0"/>
        <w:keepLines w:val="0"/>
        <w:widowControl/>
        <w:suppressLineNumbers w:val="0"/>
        <w:jc w:val="left"/>
      </w:pPr>
      <w:r>
        <w:rPr>
          <w:rFonts w:ascii="宋体" w:hAnsi="宋体" w:eastAsia="宋体" w:cs="宋体"/>
          <w:kern w:val="0"/>
          <w:szCs w:val="21"/>
        </w:rPr>
        <w:t> </w:t>
      </w:r>
      <w:r>
        <w:rPr>
          <w:rStyle w:val="9"/>
          <w:rFonts w:ascii="宋体" w:hAnsi="宋体" w:eastAsia="宋体" w:cs="宋体"/>
          <w:kern w:val="0"/>
          <w:sz w:val="28"/>
          <w:szCs w:val="28"/>
        </w:rPr>
        <w:br w:type="textWrapping"/>
      </w:r>
      <w:r>
        <w:rPr>
          <w:rStyle w:val="9"/>
          <w:rFonts w:ascii="宋体" w:hAnsi="宋体" w:eastAsia="宋体" w:cs="宋体"/>
          <w:kern w:val="0"/>
          <w:sz w:val="28"/>
          <w:szCs w:val="28"/>
        </w:rPr>
        <w:t>第一部分:部门基本情况</w:t>
      </w:r>
      <w:r>
        <w:rPr>
          <w:rStyle w:val="9"/>
          <w:rFonts w:ascii="宋体" w:hAnsi="宋体" w:eastAsia="宋体" w:cs="宋体"/>
          <w:kern w:val="0"/>
          <w:sz w:val="28"/>
          <w:szCs w:val="28"/>
        </w:rPr>
        <w:br w:type="textWrapping"/>
      </w:r>
      <w:r>
        <w:rPr>
          <w:rFonts w:ascii="宋体" w:hAnsi="宋体" w:eastAsia="宋体" w:cs="宋体"/>
          <w:kern w:val="0"/>
          <w:sz w:val="28"/>
          <w:szCs w:val="28"/>
        </w:rPr>
        <w:t>一、部门主要职责</w:t>
      </w:r>
      <w:r>
        <w:rPr>
          <w:rFonts w:ascii="宋体" w:hAnsi="宋体" w:eastAsia="宋体" w:cs="宋体"/>
          <w:kern w:val="0"/>
          <w:sz w:val="28"/>
          <w:szCs w:val="28"/>
        </w:rPr>
        <w:br w:type="textWrapping"/>
      </w:r>
      <w:r>
        <w:rPr>
          <w:rFonts w:ascii="宋体" w:hAnsi="宋体" w:eastAsia="宋体" w:cs="宋体"/>
          <w:kern w:val="0"/>
          <w:sz w:val="28"/>
          <w:szCs w:val="28"/>
        </w:rPr>
        <w:t>（一）负责招商引资相关政策的宣传推介，承担上级下达的各项招商引资任务。</w:t>
      </w:r>
      <w:r>
        <w:rPr>
          <w:rFonts w:ascii="宋体" w:hAnsi="宋体" w:eastAsia="宋体" w:cs="宋体"/>
          <w:kern w:val="0"/>
          <w:sz w:val="28"/>
          <w:szCs w:val="28"/>
        </w:rPr>
        <w:br w:type="textWrapping"/>
      </w:r>
      <w:r>
        <w:rPr>
          <w:rFonts w:ascii="宋体" w:hAnsi="宋体" w:eastAsia="宋体" w:cs="宋体"/>
          <w:kern w:val="0"/>
          <w:sz w:val="28"/>
          <w:szCs w:val="28"/>
        </w:rPr>
        <w:t>（二）负责全区招商项目的信息收集与发布、全区招商载体资源的整合与协调，承担全区重要招商项目的商务邀约、商务洽谈、对接联络、跟踪服务等招商引资相关工作。</w:t>
      </w:r>
      <w:r>
        <w:rPr>
          <w:rFonts w:ascii="宋体" w:hAnsi="宋体" w:eastAsia="宋体" w:cs="宋体"/>
          <w:kern w:val="0"/>
          <w:sz w:val="28"/>
          <w:szCs w:val="28"/>
        </w:rPr>
        <w:br w:type="textWrapping"/>
      </w:r>
      <w:r>
        <w:rPr>
          <w:rFonts w:ascii="宋体" w:hAnsi="宋体" w:eastAsia="宋体" w:cs="宋体"/>
          <w:kern w:val="0"/>
          <w:sz w:val="28"/>
          <w:szCs w:val="28"/>
        </w:rPr>
        <w:t>（三）负责全区招商资源信息管理和运用，梳理和完善全区资源信息库，收集并发布招商信息，对招商信息实行网络共享、协调互通。</w:t>
      </w:r>
      <w:r>
        <w:rPr>
          <w:rFonts w:ascii="宋体" w:hAnsi="宋体" w:eastAsia="宋体" w:cs="宋体"/>
          <w:kern w:val="0"/>
          <w:sz w:val="28"/>
          <w:szCs w:val="28"/>
        </w:rPr>
        <w:br w:type="textWrapping"/>
      </w:r>
      <w:r>
        <w:rPr>
          <w:rFonts w:ascii="宋体" w:hAnsi="宋体" w:eastAsia="宋体" w:cs="宋体"/>
          <w:kern w:val="0"/>
          <w:sz w:val="28"/>
          <w:szCs w:val="28"/>
        </w:rPr>
        <w:t>（四）负责全区重点招商项目的策划、宣传和推介工作。</w:t>
      </w:r>
      <w:r>
        <w:rPr>
          <w:rFonts w:ascii="宋体" w:hAnsi="宋体" w:eastAsia="宋体" w:cs="宋体"/>
          <w:kern w:val="0"/>
          <w:sz w:val="28"/>
          <w:szCs w:val="28"/>
        </w:rPr>
        <w:br w:type="textWrapping"/>
      </w:r>
      <w:r>
        <w:rPr>
          <w:rFonts w:ascii="宋体" w:hAnsi="宋体" w:eastAsia="宋体" w:cs="宋体"/>
          <w:kern w:val="0"/>
          <w:sz w:val="28"/>
          <w:szCs w:val="28"/>
        </w:rPr>
        <w:t>（五）负责全面完成上级布置的各项招商引资目标任务。</w:t>
      </w:r>
      <w:r>
        <w:rPr>
          <w:rFonts w:ascii="宋体" w:hAnsi="宋体" w:eastAsia="宋体" w:cs="宋体"/>
          <w:kern w:val="0"/>
          <w:sz w:val="28"/>
          <w:szCs w:val="28"/>
        </w:rPr>
        <w:br w:type="textWrapping"/>
      </w:r>
      <w:r>
        <w:rPr>
          <w:rFonts w:ascii="宋体" w:hAnsi="宋体" w:eastAsia="宋体" w:cs="宋体"/>
          <w:kern w:val="0"/>
          <w:sz w:val="28"/>
          <w:szCs w:val="28"/>
        </w:rPr>
        <w:t>（六）负责招商引资项目的落户受理认定及协调各项招商引资优惠政策的落实，配合有关单位或部门对投资项目所投诉的问题进行协调处理。</w:t>
      </w:r>
      <w:r>
        <w:rPr>
          <w:rFonts w:ascii="宋体" w:hAnsi="宋体" w:eastAsia="宋体" w:cs="宋体"/>
          <w:kern w:val="0"/>
          <w:sz w:val="28"/>
          <w:szCs w:val="28"/>
        </w:rPr>
        <w:br w:type="textWrapping"/>
      </w:r>
      <w:r>
        <w:rPr>
          <w:rFonts w:ascii="宋体" w:hAnsi="宋体" w:eastAsia="宋体" w:cs="宋体"/>
          <w:kern w:val="0"/>
          <w:sz w:val="28"/>
          <w:szCs w:val="28"/>
        </w:rPr>
        <w:t>（七）完成上级交办的其它任务。</w:t>
      </w:r>
      <w:r>
        <w:rPr>
          <w:rFonts w:ascii="宋体" w:hAnsi="宋体" w:eastAsia="宋体" w:cs="宋体"/>
          <w:kern w:val="0"/>
          <w:sz w:val="28"/>
          <w:szCs w:val="28"/>
        </w:rPr>
        <w:br w:type="textWrapping"/>
      </w:r>
      <w:r>
        <w:rPr>
          <w:rFonts w:ascii="宋体" w:hAnsi="宋体" w:eastAsia="宋体" w:cs="宋体"/>
          <w:kern w:val="0"/>
          <w:sz w:val="28"/>
          <w:szCs w:val="28"/>
        </w:rPr>
        <w:t>二、部门机构设置情况</w:t>
      </w:r>
      <w:r>
        <w:rPr>
          <w:rFonts w:ascii="宋体" w:hAnsi="宋体" w:eastAsia="宋体" w:cs="宋体"/>
          <w:kern w:val="0"/>
          <w:sz w:val="28"/>
          <w:szCs w:val="28"/>
        </w:rPr>
        <w:br w:type="textWrapping"/>
      </w:r>
      <w:r>
        <w:rPr>
          <w:rFonts w:ascii="宋体" w:hAnsi="宋体" w:eastAsia="宋体" w:cs="宋体"/>
          <w:kern w:val="0"/>
          <w:sz w:val="28"/>
          <w:szCs w:val="28"/>
        </w:rPr>
        <w:t>1、机构设置情况：下陆区招商服务中心只归属管理本级单位。</w:t>
      </w:r>
      <w:r>
        <w:rPr>
          <w:rFonts w:hint="eastAsia" w:ascii="宋体" w:hAnsi="宋体" w:eastAsia="宋体" w:cs="宋体"/>
          <w:kern w:val="0"/>
          <w:sz w:val="28"/>
          <w:szCs w:val="28"/>
        </w:rPr>
        <w:t>本单位</w:t>
      </w:r>
      <w:r>
        <w:rPr>
          <w:rFonts w:ascii="宋体" w:hAnsi="宋体" w:eastAsia="宋体" w:cs="宋体"/>
          <w:kern w:val="0"/>
          <w:sz w:val="28"/>
          <w:szCs w:val="28"/>
        </w:rPr>
        <w:t>内</w:t>
      </w:r>
      <w:r>
        <w:rPr>
          <w:rFonts w:hint="eastAsia" w:ascii="宋体" w:hAnsi="宋体" w:eastAsia="宋体" w:cs="宋体"/>
          <w:kern w:val="0"/>
          <w:sz w:val="28"/>
          <w:szCs w:val="28"/>
        </w:rPr>
        <w:t>设置</w:t>
      </w:r>
      <w:r>
        <w:rPr>
          <w:rFonts w:ascii="宋体" w:hAnsi="宋体" w:eastAsia="宋体" w:cs="宋体"/>
          <w:kern w:val="0"/>
          <w:sz w:val="28"/>
          <w:szCs w:val="28"/>
        </w:rPr>
        <w:t>办公室</w:t>
      </w:r>
      <w:r>
        <w:rPr>
          <w:rFonts w:hint="eastAsia" w:ascii="宋体" w:hAnsi="宋体" w:eastAsia="宋体" w:cs="宋体"/>
          <w:kern w:val="0"/>
          <w:sz w:val="28"/>
          <w:szCs w:val="28"/>
        </w:rPr>
        <w:t>、综合科、</w:t>
      </w:r>
      <w:r>
        <w:rPr>
          <w:rFonts w:ascii="宋体" w:hAnsi="宋体" w:eastAsia="宋体" w:cs="宋体"/>
          <w:kern w:val="0"/>
          <w:sz w:val="28"/>
          <w:szCs w:val="28"/>
        </w:rPr>
        <w:t>财务室</w:t>
      </w:r>
      <w:r>
        <w:rPr>
          <w:rFonts w:hint="eastAsia" w:ascii="宋体" w:hAnsi="宋体" w:eastAsia="宋体" w:cs="宋体"/>
          <w:kern w:val="0"/>
          <w:sz w:val="28"/>
          <w:szCs w:val="28"/>
        </w:rPr>
        <w:t>等内设科室</w:t>
      </w:r>
      <w:r>
        <w:rPr>
          <w:rFonts w:ascii="宋体" w:hAnsi="宋体" w:eastAsia="宋体" w:cs="宋体"/>
          <w:kern w:val="0"/>
          <w:sz w:val="28"/>
          <w:szCs w:val="28"/>
        </w:rPr>
        <w:t>。</w:t>
      </w:r>
      <w:r>
        <w:rPr>
          <w:rFonts w:ascii="宋体" w:hAnsi="宋体" w:eastAsia="宋体" w:cs="宋体"/>
          <w:kern w:val="0"/>
          <w:sz w:val="28"/>
          <w:szCs w:val="28"/>
        </w:rPr>
        <w:br w:type="textWrapping"/>
      </w:r>
      <w:r>
        <w:rPr>
          <w:rFonts w:ascii="宋体" w:hAnsi="宋体" w:eastAsia="宋体" w:cs="宋体"/>
          <w:kern w:val="0"/>
          <w:sz w:val="28"/>
          <w:szCs w:val="28"/>
        </w:rPr>
        <w:t>2、编制情况：下陆区招商服务中心核定编制数为8名，其中行政编0名，事业编制8名。202</w:t>
      </w:r>
      <w:r>
        <w:rPr>
          <w:rFonts w:hint="eastAsia" w:ascii="宋体" w:hAnsi="宋体" w:eastAsia="宋体" w:cs="宋体"/>
          <w:kern w:val="0"/>
          <w:sz w:val="28"/>
          <w:szCs w:val="28"/>
          <w:lang w:val="en-US" w:eastAsia="zh-CN"/>
        </w:rPr>
        <w:t>2</w:t>
      </w:r>
      <w:r>
        <w:rPr>
          <w:rFonts w:ascii="宋体" w:hAnsi="宋体" w:eastAsia="宋体" w:cs="宋体"/>
          <w:kern w:val="0"/>
          <w:sz w:val="28"/>
          <w:szCs w:val="28"/>
        </w:rPr>
        <w:t>年年末在职在编人员8人，区聘</w:t>
      </w:r>
      <w:r>
        <w:rPr>
          <w:rFonts w:hint="eastAsia" w:ascii="宋体" w:hAnsi="宋体" w:eastAsia="宋体" w:cs="宋体"/>
          <w:kern w:val="0"/>
          <w:sz w:val="28"/>
          <w:szCs w:val="28"/>
          <w:lang w:eastAsia="zh-CN"/>
        </w:rPr>
        <w:t>雇员</w:t>
      </w:r>
      <w:r>
        <w:rPr>
          <w:rFonts w:hint="eastAsia" w:ascii="宋体" w:hAnsi="宋体" w:eastAsia="宋体" w:cs="宋体"/>
          <w:kern w:val="0"/>
          <w:sz w:val="28"/>
          <w:szCs w:val="28"/>
          <w:lang w:val="en-US" w:eastAsia="zh-CN"/>
        </w:rPr>
        <w:t>6</w:t>
      </w:r>
      <w:r>
        <w:rPr>
          <w:rFonts w:ascii="宋体" w:hAnsi="宋体" w:eastAsia="宋体" w:cs="宋体"/>
          <w:kern w:val="0"/>
          <w:sz w:val="28"/>
          <w:szCs w:val="28"/>
        </w:rPr>
        <w:t>人，退伍安置0人，退休人员2人（已全部转入机关事业单位养老保险发放养老金）。</w:t>
      </w:r>
      <w:r>
        <w:rPr>
          <w:rFonts w:ascii="宋体" w:hAnsi="宋体" w:eastAsia="宋体" w:cs="宋体"/>
          <w:kern w:val="0"/>
          <w:sz w:val="28"/>
          <w:szCs w:val="28"/>
        </w:rPr>
        <w:br w:type="textWrapping"/>
      </w:r>
      <w:r>
        <w:rPr>
          <w:rStyle w:val="9"/>
          <w:rFonts w:hint="eastAsia" w:ascii="宋体" w:hAnsi="宋体" w:eastAsia="宋体" w:cs="宋体"/>
          <w:kern w:val="0"/>
          <w:sz w:val="28"/>
          <w:szCs w:val="28"/>
        </w:rPr>
        <w:t>第二部分: 部门202</w:t>
      </w:r>
      <w:r>
        <w:rPr>
          <w:rStyle w:val="9"/>
          <w:rFonts w:hint="eastAsia" w:ascii="宋体" w:hAnsi="宋体" w:eastAsia="宋体" w:cs="宋体"/>
          <w:kern w:val="0"/>
          <w:sz w:val="28"/>
          <w:szCs w:val="28"/>
          <w:lang w:val="en-US" w:eastAsia="zh-CN"/>
        </w:rPr>
        <w:t>2</w:t>
      </w:r>
      <w:r>
        <w:rPr>
          <w:rStyle w:val="9"/>
          <w:rFonts w:hint="eastAsia" w:ascii="宋体" w:hAnsi="宋体" w:eastAsia="宋体" w:cs="宋体"/>
          <w:kern w:val="0"/>
          <w:sz w:val="28"/>
          <w:szCs w:val="28"/>
        </w:rPr>
        <w:t>年部门决算表</w:t>
      </w:r>
      <w:r>
        <w:rPr>
          <w:rStyle w:val="9"/>
          <w:rFonts w:ascii="宋体" w:hAnsi="宋体" w:eastAsia="宋体" w:cs="宋体"/>
          <w:kern w:val="0"/>
          <w:szCs w:val="21"/>
        </w:rPr>
        <w:br w:type="textWrapping"/>
      </w:r>
      <w:r>
        <w:rPr>
          <w:rFonts w:ascii="宋体" w:hAnsi="宋体" w:eastAsia="宋体" w:cs="宋体"/>
          <w:kern w:val="0"/>
          <w:sz w:val="24"/>
          <w:szCs w:val="24"/>
          <w:lang w:val="en-US" w:eastAsia="zh-CN" w:bidi="ar"/>
        </w:rPr>
        <w:drawing>
          <wp:inline distT="0" distB="0" distL="114300" distR="114300">
            <wp:extent cx="5862320" cy="6220460"/>
            <wp:effectExtent l="0" t="0" r="5080" b="889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862320" cy="6220460"/>
                    </a:xfrm>
                    <a:prstGeom prst="rect">
                      <a:avLst/>
                    </a:prstGeom>
                    <a:noFill/>
                    <a:ln w="9525">
                      <a:noFill/>
                    </a:ln>
                  </pic:spPr>
                </pic:pic>
              </a:graphicData>
            </a:graphic>
          </wp:inline>
        </w:drawing>
      </w:r>
    </w:p>
    <w:p w14:paraId="3553C07D">
      <w:pPr>
        <w:keepNext w:val="0"/>
        <w:keepLines w:val="0"/>
        <w:widowControl/>
        <w:suppressLineNumbers w:val="0"/>
        <w:jc w:val="left"/>
      </w:pPr>
    </w:p>
    <w:p w14:paraId="4150086F">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58815" cy="2447925"/>
            <wp:effectExtent l="0" t="0" r="13335"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758815" cy="2447925"/>
                    </a:xfrm>
                    <a:prstGeom prst="rect">
                      <a:avLst/>
                    </a:prstGeom>
                    <a:noFill/>
                    <a:ln w="9525">
                      <a:noFill/>
                    </a:ln>
                  </pic:spPr>
                </pic:pic>
              </a:graphicData>
            </a:graphic>
          </wp:inline>
        </w:drawing>
      </w:r>
    </w:p>
    <w:p w14:paraId="6A2DC365">
      <w:pPr>
        <w:keepNext w:val="0"/>
        <w:keepLines w:val="0"/>
        <w:widowControl/>
        <w:suppressLineNumbers w:val="0"/>
        <w:jc w:val="left"/>
      </w:pPr>
      <w:r>
        <w:rPr>
          <w:rStyle w:val="9"/>
          <w:rFonts w:hint="default"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766435" cy="2547620"/>
            <wp:effectExtent l="0" t="0" r="5715" b="508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5766435" cy="2547620"/>
                    </a:xfrm>
                    <a:prstGeom prst="rect">
                      <a:avLst/>
                    </a:prstGeom>
                    <a:noFill/>
                    <a:ln w="9525">
                      <a:noFill/>
                    </a:ln>
                  </pic:spPr>
                </pic:pic>
              </a:graphicData>
            </a:graphic>
          </wp:inline>
        </w:drawing>
      </w:r>
    </w:p>
    <w:p w14:paraId="47A592CF">
      <w:pPr>
        <w:keepNext w:val="0"/>
        <w:keepLines w:val="0"/>
        <w:widowControl/>
        <w:suppressLineNumbers w:val="0"/>
        <w:jc w:val="left"/>
      </w:pPr>
    </w:p>
    <w:p w14:paraId="7A49398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58485" cy="5153660"/>
            <wp:effectExtent l="0" t="0" r="18415" b="889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5658485" cy="5153660"/>
                    </a:xfrm>
                    <a:prstGeom prst="rect">
                      <a:avLst/>
                    </a:prstGeom>
                    <a:noFill/>
                    <a:ln w="9525">
                      <a:noFill/>
                    </a:ln>
                  </pic:spPr>
                </pic:pic>
              </a:graphicData>
            </a:graphic>
          </wp:inline>
        </w:drawing>
      </w:r>
    </w:p>
    <w:p w14:paraId="4601A242">
      <w:pPr>
        <w:keepNext w:val="0"/>
        <w:keepLines w:val="0"/>
        <w:widowControl/>
        <w:suppressLineNumbers w:val="0"/>
        <w:jc w:val="left"/>
      </w:pPr>
      <w:r>
        <w:rPr>
          <w:rStyle w:val="9"/>
          <w:rFonts w:hint="default"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662930" cy="2564765"/>
            <wp:effectExtent l="0" t="0" r="13970" b="6985"/>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5662930" cy="2564765"/>
                    </a:xfrm>
                    <a:prstGeom prst="rect">
                      <a:avLst/>
                    </a:prstGeom>
                    <a:noFill/>
                    <a:ln w="9525">
                      <a:noFill/>
                    </a:ln>
                  </pic:spPr>
                </pic:pic>
              </a:graphicData>
            </a:graphic>
          </wp:inline>
        </w:drawing>
      </w:r>
    </w:p>
    <w:p w14:paraId="5D940CA9">
      <w:pPr>
        <w:keepNext w:val="0"/>
        <w:keepLines w:val="0"/>
        <w:widowControl/>
        <w:suppressLineNumbers w:val="0"/>
        <w:jc w:val="left"/>
      </w:pPr>
    </w:p>
    <w:p w14:paraId="57F4A105">
      <w:pPr>
        <w:keepNext w:val="0"/>
        <w:keepLines w:val="0"/>
        <w:widowControl/>
        <w:suppressLineNumbers w:val="0"/>
        <w:jc w:val="left"/>
      </w:pPr>
      <w:r>
        <w:rPr>
          <w:rStyle w:val="9"/>
          <w:rFonts w:hint="default"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742940" cy="4561840"/>
            <wp:effectExtent l="0" t="0" r="10160" b="1016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9"/>
                    <a:stretch>
                      <a:fillRect/>
                    </a:stretch>
                  </pic:blipFill>
                  <pic:spPr>
                    <a:xfrm>
                      <a:off x="0" y="0"/>
                      <a:ext cx="5742940" cy="4561840"/>
                    </a:xfrm>
                    <a:prstGeom prst="rect">
                      <a:avLst/>
                    </a:prstGeom>
                    <a:noFill/>
                    <a:ln w="9525">
                      <a:noFill/>
                    </a:ln>
                  </pic:spPr>
                </pic:pic>
              </a:graphicData>
            </a:graphic>
          </wp:inline>
        </w:drawing>
      </w:r>
    </w:p>
    <w:p w14:paraId="50F18AAF">
      <w:pPr>
        <w:keepNext w:val="0"/>
        <w:keepLines w:val="0"/>
        <w:widowControl/>
        <w:suppressLineNumbers w:val="0"/>
        <w:jc w:val="left"/>
      </w:pPr>
    </w:p>
    <w:p w14:paraId="197AA79C">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44210" cy="1929130"/>
            <wp:effectExtent l="0" t="0" r="8890" b="1397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0"/>
                    <a:stretch>
                      <a:fillRect/>
                    </a:stretch>
                  </pic:blipFill>
                  <pic:spPr>
                    <a:xfrm>
                      <a:off x="0" y="0"/>
                      <a:ext cx="5744210" cy="1929130"/>
                    </a:xfrm>
                    <a:prstGeom prst="rect">
                      <a:avLst/>
                    </a:prstGeom>
                    <a:noFill/>
                    <a:ln w="9525">
                      <a:noFill/>
                    </a:ln>
                  </pic:spPr>
                </pic:pic>
              </a:graphicData>
            </a:graphic>
          </wp:inline>
        </w:drawing>
      </w:r>
    </w:p>
    <w:p w14:paraId="276A5115">
      <w:pPr>
        <w:keepNext w:val="0"/>
        <w:keepLines w:val="0"/>
        <w:widowControl/>
        <w:suppressLineNumbers w:val="0"/>
        <w:jc w:val="left"/>
      </w:pPr>
      <w:r>
        <w:rPr>
          <w:rStyle w:val="9"/>
          <w:rFonts w:hint="default" w:ascii="Arial" w:hAnsi="Arial" w:eastAsia="宋体" w:cs="Arial"/>
          <w:i w:val="0"/>
          <w:caps w:val="0"/>
          <w:color w:val="000000"/>
          <w:spacing w:val="0"/>
          <w:sz w:val="27"/>
          <w:szCs w:val="27"/>
          <w:shd w:val="clear" w:fill="FFFFFF"/>
        </w:rPr>
        <w:br w:type="textWrapping"/>
      </w:r>
    </w:p>
    <w:p w14:paraId="6B7CF7CF">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39105" cy="1693545"/>
            <wp:effectExtent l="0" t="0" r="4445" b="1905"/>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1"/>
                    <a:stretch>
                      <a:fillRect/>
                    </a:stretch>
                  </pic:blipFill>
                  <pic:spPr>
                    <a:xfrm>
                      <a:off x="0" y="0"/>
                      <a:ext cx="5539105" cy="1693545"/>
                    </a:xfrm>
                    <a:prstGeom prst="rect">
                      <a:avLst/>
                    </a:prstGeom>
                    <a:noFill/>
                    <a:ln w="9525">
                      <a:noFill/>
                    </a:ln>
                  </pic:spPr>
                </pic:pic>
              </a:graphicData>
            </a:graphic>
          </wp:inline>
        </w:drawing>
      </w:r>
    </w:p>
    <w:p w14:paraId="1513C6B6">
      <w:pPr>
        <w:keepNext w:val="0"/>
        <w:keepLines w:val="0"/>
        <w:widowControl/>
        <w:suppressLineNumbers w:val="0"/>
        <w:jc w:val="left"/>
      </w:pPr>
      <w:r>
        <w:rPr>
          <w:rStyle w:val="9"/>
          <w:rFonts w:hint="default"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594350" cy="1783715"/>
            <wp:effectExtent l="0" t="0" r="6350" b="698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2"/>
                    <a:stretch>
                      <a:fillRect/>
                    </a:stretch>
                  </pic:blipFill>
                  <pic:spPr>
                    <a:xfrm>
                      <a:off x="0" y="0"/>
                      <a:ext cx="5594350" cy="1783715"/>
                    </a:xfrm>
                    <a:prstGeom prst="rect">
                      <a:avLst/>
                    </a:prstGeom>
                    <a:noFill/>
                    <a:ln w="9525">
                      <a:noFill/>
                    </a:ln>
                  </pic:spPr>
                </pic:pic>
              </a:graphicData>
            </a:graphic>
          </wp:inline>
        </w:drawing>
      </w:r>
    </w:p>
    <w:p w14:paraId="6E0CF913">
      <w:pPr>
        <w:keepNext w:val="0"/>
        <w:keepLines w:val="0"/>
        <w:widowControl/>
        <w:suppressLineNumbers w:val="0"/>
        <w:jc w:val="left"/>
      </w:pPr>
    </w:p>
    <w:p w14:paraId="1527A63E">
      <w:pPr>
        <w:shd w:val="clear" w:color="auto" w:fill="auto"/>
        <w:adjustRightInd w:val="0"/>
        <w:snapToGrid w:val="0"/>
        <w:spacing w:line="580" w:lineRule="atLeast"/>
        <w:ind w:firstLine="562" w:firstLineChars="200"/>
        <w:rPr>
          <w:rFonts w:hint="eastAsia" w:ascii="黑体" w:hAnsi="黑体" w:eastAsia="黑体" w:cs="黑体"/>
          <w:bCs/>
          <w:sz w:val="32"/>
          <w:szCs w:val="32"/>
          <w:highlight w:val="none"/>
          <w:lang w:val="en-US" w:eastAsia="zh-CN"/>
        </w:rPr>
      </w:pPr>
      <w:r>
        <w:rPr>
          <w:rStyle w:val="9"/>
          <w:rFonts w:hint="eastAsia" w:ascii="宋体" w:hAnsi="宋体" w:eastAsia="宋体" w:cs="宋体"/>
          <w:kern w:val="0"/>
          <w:sz w:val="28"/>
          <w:szCs w:val="28"/>
        </w:rPr>
        <w:t>第三部分：</w:t>
      </w:r>
      <w:r>
        <w:rPr>
          <w:rFonts w:hint="eastAsia" w:ascii="宋体" w:hAnsi="宋体" w:eastAsia="宋体" w:cs="宋体"/>
          <w:b/>
          <w:bCs w:val="0"/>
          <w:sz w:val="28"/>
          <w:szCs w:val="28"/>
          <w:highlight w:val="none"/>
          <w:lang w:val="en-US" w:eastAsia="zh-CN"/>
        </w:rPr>
        <w:t>部门2022年部门决算情况说明</w:t>
      </w:r>
      <w:r>
        <w:rPr>
          <w:rFonts w:hint="eastAsia" w:ascii="宋体" w:hAnsi="宋体" w:eastAsia="宋体" w:cs="宋体"/>
          <w:b/>
          <w:bCs w:val="0"/>
          <w:sz w:val="28"/>
          <w:szCs w:val="28"/>
          <w:highlight w:val="none"/>
          <w:lang w:val="en-US" w:eastAsia="zh-CN"/>
        </w:rPr>
        <w:br w:type="textWrapping"/>
      </w:r>
      <w:r>
        <w:rPr>
          <w:rFonts w:hint="eastAsia" w:ascii="宋体" w:hAnsi="宋体" w:eastAsia="宋体" w:cs="宋体"/>
          <w:b/>
          <w:bCs w:val="0"/>
          <w:sz w:val="28"/>
          <w:szCs w:val="28"/>
          <w:highlight w:val="none"/>
          <w:lang w:val="en-US" w:eastAsia="zh-CN"/>
        </w:rPr>
        <w:t>一、收入支出决算总体情况说明</w:t>
      </w:r>
    </w:p>
    <w:p w14:paraId="6B6C64DF">
      <w:pPr>
        <w:shd w:val="clear" w:color="auto" w:fill="auto"/>
        <w:adjustRightInd w:val="0"/>
        <w:snapToGrid w:val="0"/>
        <w:spacing w:line="580" w:lineRule="atLeast"/>
        <w:ind w:firstLine="560" w:firstLineChars="200"/>
        <w:rPr>
          <w:rFonts w:hint="eastAsia" w:ascii="宋体" w:hAnsi="宋体" w:eastAsia="宋体" w:cs="宋体"/>
          <w:bCs/>
          <w:sz w:val="28"/>
          <w:szCs w:val="28"/>
          <w:highlight w:val="none"/>
          <w:u w:val="none"/>
          <w:lang w:val="en-US" w:eastAsia="zh-CN"/>
        </w:rPr>
      </w:pPr>
      <w:r>
        <w:rPr>
          <w:rFonts w:hint="eastAsia" w:ascii="宋体" w:hAnsi="宋体" w:eastAsia="宋体" w:cs="宋体"/>
          <w:bCs/>
          <w:sz w:val="28"/>
          <w:szCs w:val="28"/>
          <w:highlight w:val="none"/>
          <w:u w:val="none"/>
          <w:lang w:val="en-US" w:eastAsia="zh-CN"/>
        </w:rPr>
        <w:t>2022年度收、支总计均为1432.13万元。与2021年度相比，收入总计增加550.96万元，增长62.5%，主要原因是今年增加了对我区企业项目产业发展资金及扶持资金。与2021年度相比，支出总计增加549.71万元，增长62.3%，主要原因是今年增加了对我区企业项目产业发展资金及扶持资金。</w:t>
      </w:r>
    </w:p>
    <w:p w14:paraId="59859C35">
      <w:pPr>
        <w:numPr>
          <w:ilvl w:val="0"/>
          <w:numId w:val="0"/>
        </w:numPr>
        <w:shd w:val="clear" w:color="auto" w:fill="auto"/>
        <w:adjustRightInd w:val="0"/>
        <w:snapToGrid w:val="0"/>
        <w:spacing w:line="580" w:lineRule="atLeast"/>
        <w:ind w:firstLine="562" w:firstLineChars="200"/>
        <w:rPr>
          <w:rFonts w:hint="eastAsia" w:ascii="黑体" w:hAnsi="黑体" w:eastAsia="黑体" w:cs="黑体"/>
          <w:bCs/>
          <w:sz w:val="32"/>
          <w:szCs w:val="32"/>
          <w:highlight w:val="none"/>
          <w:lang w:val="en-US" w:eastAsia="zh-CN"/>
        </w:rPr>
      </w:pPr>
      <w:r>
        <w:rPr>
          <w:rFonts w:hint="eastAsia" w:ascii="宋体" w:hAnsi="宋体" w:eastAsia="宋体" w:cs="宋体"/>
          <w:b/>
          <w:bCs w:val="0"/>
          <w:sz w:val="28"/>
          <w:szCs w:val="28"/>
          <w:highlight w:val="none"/>
          <w:lang w:val="en-US" w:eastAsia="zh-CN"/>
        </w:rPr>
        <w:t>二、收入决算情况说明</w:t>
      </w:r>
    </w:p>
    <w:p w14:paraId="4AC2D591">
      <w:pPr>
        <w:shd w:val="clear" w:color="auto" w:fill="auto"/>
        <w:bidi w:val="0"/>
        <w:rPr>
          <w:rFonts w:hint="default"/>
          <w:b/>
          <w:bCs/>
          <w:color w:val="FF0000"/>
          <w:lang w:val="en-US" w:eastAsia="zh-CN"/>
        </w:rPr>
      </w:pPr>
      <w:r>
        <w:rPr>
          <w:rFonts w:hint="eastAsia" w:ascii="仿宋_GB2312" w:hAnsi="宋体"/>
          <w:bCs/>
          <w:szCs w:val="32"/>
          <w:highlight w:val="none"/>
          <w:lang w:val="en-US" w:eastAsia="zh-CN"/>
        </w:rPr>
        <w:t xml:space="preserve">  </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u w:val="none"/>
          <w:lang w:val="en-US" w:eastAsia="zh-CN"/>
        </w:rPr>
        <w:t xml:space="preserve"> 2022年度收入合计1432.13万元，与2021年度相比，收入合计增加550.96万元，增长62.5%。其中：财政拨款收入1432.13万元，占本年收入100%；上级补助收入0万元，占本年收入0%；事业收入0万元，占本年收入0%；经营收入0万元，占</w:t>
      </w:r>
      <w:r>
        <w:rPr>
          <w:rFonts w:hint="eastAsia" w:ascii="宋体" w:hAnsi="宋体" w:eastAsia="宋体" w:cs="宋体"/>
          <w:sz w:val="28"/>
          <w:szCs w:val="28"/>
          <w:u w:val="none"/>
          <w:lang w:val="en-US" w:eastAsia="zh-CN"/>
        </w:rPr>
        <w:t>本年收入0%；附属单位上缴收入0万元，</w:t>
      </w:r>
      <w:r>
        <w:rPr>
          <w:rFonts w:hint="eastAsia" w:ascii="宋体" w:hAnsi="宋体" w:eastAsia="宋体" w:cs="宋体"/>
          <w:bCs/>
          <w:sz w:val="28"/>
          <w:szCs w:val="28"/>
          <w:highlight w:val="none"/>
          <w:u w:val="none"/>
          <w:lang w:val="en-US" w:eastAsia="zh-CN"/>
        </w:rPr>
        <w:t>占</w:t>
      </w:r>
      <w:r>
        <w:rPr>
          <w:rFonts w:hint="eastAsia" w:ascii="宋体" w:hAnsi="宋体" w:eastAsia="宋体" w:cs="宋体"/>
          <w:sz w:val="28"/>
          <w:szCs w:val="28"/>
          <w:u w:val="none"/>
          <w:lang w:val="en-US" w:eastAsia="zh-CN"/>
        </w:rPr>
        <w:t>本年收入0 %；其他收入0万元，占本年收入0%。</w:t>
      </w:r>
    </w:p>
    <w:p w14:paraId="70E7142D">
      <w:pPr>
        <w:shd w:val="clear" w:color="auto" w:fill="auto"/>
        <w:bidi w:val="0"/>
        <w:ind w:firstLine="562" w:firstLineChars="200"/>
        <w:rPr>
          <w:rFonts w:hint="eastAsia" w:ascii="黑体" w:hAnsi="黑体" w:eastAsia="黑体" w:cs="黑体"/>
        </w:rPr>
      </w:pPr>
      <w:r>
        <w:rPr>
          <w:rFonts w:hint="eastAsia" w:ascii="宋体" w:hAnsi="宋体" w:eastAsia="宋体" w:cs="宋体"/>
          <w:b/>
          <w:bCs w:val="0"/>
          <w:sz w:val="28"/>
          <w:szCs w:val="28"/>
          <w:highlight w:val="none"/>
          <w:lang w:val="en-US" w:eastAsia="zh-CN"/>
        </w:rPr>
        <w:t>三、支出决算情况说明</w:t>
      </w:r>
    </w:p>
    <w:p w14:paraId="7F8F6CE6">
      <w:pPr>
        <w:shd w:val="clear" w:color="auto" w:fill="auto"/>
        <w:bidi w:val="0"/>
        <w:ind w:firstLine="560" w:firstLineChars="200"/>
        <w:rPr>
          <w:rFonts w:hint="eastAsia"/>
          <w:lang w:val="en-US" w:eastAsia="zh-CN"/>
        </w:rPr>
      </w:pP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2</w:t>
      </w:r>
      <w:r>
        <w:rPr>
          <w:rFonts w:hint="eastAsia" w:ascii="宋体" w:hAnsi="宋体" w:eastAsia="宋体" w:cs="宋体"/>
          <w:sz w:val="28"/>
          <w:szCs w:val="28"/>
          <w:u w:val="none"/>
          <w:lang w:eastAsia="zh-CN"/>
        </w:rPr>
        <w:t>年</w:t>
      </w:r>
      <w:r>
        <w:rPr>
          <w:rFonts w:hint="eastAsia" w:ascii="宋体" w:hAnsi="宋体" w:eastAsia="宋体" w:cs="宋体"/>
          <w:sz w:val="28"/>
          <w:szCs w:val="28"/>
          <w:u w:val="none"/>
        </w:rPr>
        <w:t>度支出合计</w:t>
      </w:r>
      <w:r>
        <w:rPr>
          <w:rFonts w:hint="eastAsia" w:ascii="宋体" w:hAnsi="宋体" w:eastAsia="宋体" w:cs="宋体"/>
          <w:sz w:val="28"/>
          <w:szCs w:val="28"/>
          <w:u w:val="none"/>
          <w:lang w:val="en-US" w:eastAsia="zh-CN"/>
        </w:rPr>
        <w:t>1432.13</w:t>
      </w:r>
      <w:r>
        <w:rPr>
          <w:rFonts w:hint="eastAsia" w:ascii="宋体" w:hAnsi="宋体" w:eastAsia="宋体" w:cs="宋体"/>
          <w:sz w:val="28"/>
          <w:szCs w:val="28"/>
          <w:u w:val="none"/>
        </w:rPr>
        <w:t>万元</w:t>
      </w:r>
      <w:r>
        <w:rPr>
          <w:rFonts w:hint="eastAsia" w:ascii="宋体" w:hAnsi="宋体" w:eastAsia="宋体" w:cs="宋体"/>
          <w:sz w:val="28"/>
          <w:szCs w:val="28"/>
          <w:u w:val="none"/>
          <w:lang w:eastAsia="zh-CN"/>
        </w:rPr>
        <w:t>，</w:t>
      </w:r>
      <w:r>
        <w:rPr>
          <w:rFonts w:hint="eastAsia" w:ascii="宋体" w:hAnsi="宋体" w:eastAsia="宋体" w:cs="宋体"/>
          <w:sz w:val="28"/>
          <w:szCs w:val="28"/>
          <w:u w:val="none"/>
          <w:lang w:val="en-US" w:eastAsia="zh-CN"/>
        </w:rPr>
        <w:t>与2021年度相比，支出合计增加549.71万元，增长62.3%。</w:t>
      </w:r>
      <w:r>
        <w:rPr>
          <w:rFonts w:hint="eastAsia" w:ascii="宋体" w:hAnsi="宋体" w:eastAsia="宋体" w:cs="宋体"/>
          <w:bCs/>
          <w:kern w:val="44"/>
          <w:sz w:val="28"/>
          <w:szCs w:val="28"/>
          <w:highlight w:val="none"/>
          <w:u w:val="none"/>
        </w:rPr>
        <w:t>其中：基本支出</w:t>
      </w:r>
      <w:r>
        <w:rPr>
          <w:rFonts w:hint="eastAsia" w:ascii="宋体" w:hAnsi="宋体" w:eastAsia="宋体" w:cs="宋体"/>
          <w:bCs/>
          <w:kern w:val="44"/>
          <w:sz w:val="28"/>
          <w:szCs w:val="28"/>
          <w:highlight w:val="none"/>
          <w:u w:val="none"/>
          <w:lang w:val="en-US" w:eastAsia="zh-CN"/>
        </w:rPr>
        <w:t>138.53</w:t>
      </w:r>
      <w:r>
        <w:rPr>
          <w:rFonts w:hint="eastAsia" w:ascii="宋体" w:hAnsi="宋体" w:eastAsia="宋体" w:cs="宋体"/>
          <w:bCs/>
          <w:kern w:val="44"/>
          <w:sz w:val="28"/>
          <w:szCs w:val="28"/>
          <w:highlight w:val="none"/>
          <w:u w:val="none"/>
        </w:rPr>
        <w:t xml:space="preserve">万元，占本年支出 </w:t>
      </w:r>
      <w:r>
        <w:rPr>
          <w:rFonts w:hint="eastAsia" w:ascii="宋体" w:hAnsi="宋体" w:eastAsia="宋体" w:cs="宋体"/>
          <w:bCs/>
          <w:kern w:val="44"/>
          <w:sz w:val="28"/>
          <w:szCs w:val="28"/>
          <w:highlight w:val="none"/>
          <w:u w:val="none"/>
          <w:lang w:val="en-US" w:eastAsia="zh-CN"/>
        </w:rPr>
        <w:t>9.7</w:t>
      </w:r>
      <w:r>
        <w:rPr>
          <w:rFonts w:hint="eastAsia" w:ascii="宋体" w:hAnsi="宋体" w:eastAsia="宋体" w:cs="宋体"/>
          <w:bCs/>
          <w:kern w:val="44"/>
          <w:sz w:val="28"/>
          <w:szCs w:val="28"/>
          <w:highlight w:val="none"/>
          <w:u w:val="none"/>
        </w:rPr>
        <w:t xml:space="preserve"> %；项目支出</w:t>
      </w:r>
      <w:r>
        <w:rPr>
          <w:rFonts w:hint="eastAsia" w:ascii="宋体" w:hAnsi="宋体" w:eastAsia="宋体" w:cs="宋体"/>
          <w:bCs/>
          <w:kern w:val="44"/>
          <w:sz w:val="28"/>
          <w:szCs w:val="28"/>
          <w:highlight w:val="none"/>
          <w:u w:val="none"/>
          <w:lang w:val="en-US" w:eastAsia="zh-CN"/>
        </w:rPr>
        <w:t>1293.59</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90.3</w:t>
      </w:r>
      <w:r>
        <w:rPr>
          <w:rFonts w:hint="eastAsia" w:ascii="宋体" w:hAnsi="宋体" w:eastAsia="宋体" w:cs="宋体"/>
          <w:bCs/>
          <w:kern w:val="44"/>
          <w:sz w:val="28"/>
          <w:szCs w:val="28"/>
          <w:highlight w:val="none"/>
          <w:u w:val="none"/>
        </w:rPr>
        <w:t>%；上缴上级支出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%；经营支出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 xml:space="preserve"> %</w:t>
      </w:r>
      <w:r>
        <w:rPr>
          <w:rFonts w:hint="eastAsia" w:ascii="宋体" w:hAnsi="宋体" w:eastAsia="宋体" w:cs="宋体"/>
          <w:bCs/>
          <w:kern w:val="44"/>
          <w:sz w:val="28"/>
          <w:szCs w:val="28"/>
          <w:highlight w:val="none"/>
          <w:u w:val="none"/>
          <w:lang w:eastAsia="zh-CN"/>
        </w:rPr>
        <w:t>；对附属单位补助支出</w:t>
      </w:r>
      <w:r>
        <w:rPr>
          <w:rFonts w:hint="eastAsia" w:ascii="宋体" w:hAnsi="宋体" w:eastAsia="宋体" w:cs="宋体"/>
          <w:bCs/>
          <w:kern w:val="44"/>
          <w:sz w:val="28"/>
          <w:szCs w:val="28"/>
          <w:highlight w:val="none"/>
          <w:u w:val="none"/>
          <w:lang w:val="en-US" w:eastAsia="zh-CN"/>
        </w:rPr>
        <w:t>0万元，</w:t>
      </w:r>
      <w:r>
        <w:rPr>
          <w:rFonts w:hint="eastAsia" w:ascii="宋体" w:hAnsi="宋体" w:eastAsia="宋体" w:cs="宋体"/>
          <w:bCs/>
          <w:kern w:val="44"/>
          <w:sz w:val="28"/>
          <w:szCs w:val="28"/>
          <w:highlight w:val="none"/>
          <w:u w:val="none"/>
        </w:rPr>
        <w:t>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 xml:space="preserve"> %。</w:t>
      </w:r>
    </w:p>
    <w:p w14:paraId="18C6A5E5">
      <w:p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四、财政拨款收入支出决算总体情况说明</w:t>
      </w:r>
    </w:p>
    <w:p w14:paraId="3E8C7499">
      <w:pPr>
        <w:shd w:val="clear" w:color="auto" w:fill="auto"/>
        <w:adjustRightInd w:val="0"/>
        <w:snapToGrid w:val="0"/>
        <w:spacing w:line="580" w:lineRule="atLeast"/>
        <w:ind w:firstLine="560" w:firstLineChars="200"/>
        <w:rPr>
          <w:rFonts w:hint="eastAsia" w:ascii="宋体" w:hAnsi="宋体" w:eastAsia="宋体" w:cs="宋体"/>
          <w:sz w:val="28"/>
          <w:szCs w:val="28"/>
          <w:u w:val="none"/>
        </w:rPr>
      </w:pP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2</w:t>
      </w:r>
      <w:r>
        <w:rPr>
          <w:rFonts w:hint="eastAsia" w:ascii="宋体" w:hAnsi="宋体" w:eastAsia="宋体" w:cs="宋体"/>
          <w:sz w:val="28"/>
          <w:szCs w:val="28"/>
          <w:u w:val="none"/>
          <w:lang w:eastAsia="zh-CN"/>
        </w:rPr>
        <w:t>年</w:t>
      </w:r>
      <w:r>
        <w:rPr>
          <w:rFonts w:hint="eastAsia" w:ascii="宋体" w:hAnsi="宋体" w:eastAsia="宋体" w:cs="宋体"/>
          <w:sz w:val="28"/>
          <w:szCs w:val="28"/>
          <w:u w:val="none"/>
        </w:rPr>
        <w:t>度财政拨款收、支总计</w:t>
      </w:r>
      <w:r>
        <w:rPr>
          <w:rFonts w:hint="eastAsia" w:ascii="宋体" w:hAnsi="宋体" w:eastAsia="宋体" w:cs="宋体"/>
          <w:sz w:val="28"/>
          <w:szCs w:val="28"/>
          <w:u w:val="none"/>
          <w:lang w:val="en-US" w:eastAsia="zh-CN"/>
        </w:rPr>
        <w:t>均为1432.13</w:t>
      </w:r>
      <w:r>
        <w:rPr>
          <w:rFonts w:hint="eastAsia" w:ascii="宋体" w:hAnsi="宋体" w:eastAsia="宋体" w:cs="宋体"/>
          <w:sz w:val="28"/>
          <w:szCs w:val="28"/>
          <w:u w:val="none"/>
        </w:rPr>
        <w:t>万元。与</w:t>
      </w: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1</w:t>
      </w:r>
      <w:r>
        <w:rPr>
          <w:rFonts w:hint="eastAsia" w:ascii="宋体" w:hAnsi="宋体" w:eastAsia="宋体" w:cs="宋体"/>
          <w:sz w:val="28"/>
          <w:szCs w:val="28"/>
          <w:u w:val="none"/>
          <w:lang w:eastAsia="zh-CN"/>
        </w:rPr>
        <w:t>年度</w:t>
      </w:r>
      <w:r>
        <w:rPr>
          <w:rFonts w:hint="eastAsia" w:ascii="宋体" w:hAnsi="宋体" w:eastAsia="宋体" w:cs="宋体"/>
          <w:sz w:val="28"/>
          <w:szCs w:val="28"/>
          <w:u w:val="none"/>
        </w:rPr>
        <w:t>相比，财政拨款收、支总计各增加</w:t>
      </w:r>
      <w:r>
        <w:rPr>
          <w:rFonts w:hint="eastAsia" w:ascii="宋体" w:hAnsi="宋体" w:eastAsia="宋体" w:cs="宋体"/>
          <w:sz w:val="28"/>
          <w:szCs w:val="28"/>
          <w:u w:val="none"/>
          <w:lang w:val="en-US" w:eastAsia="zh-CN"/>
        </w:rPr>
        <w:t>580.65</w:t>
      </w:r>
      <w:r>
        <w:rPr>
          <w:rFonts w:hint="eastAsia" w:ascii="宋体" w:hAnsi="宋体" w:eastAsia="宋体" w:cs="宋体"/>
          <w:sz w:val="28"/>
          <w:szCs w:val="28"/>
          <w:u w:val="none"/>
        </w:rPr>
        <w:t>万元，增长</w:t>
      </w:r>
      <w:r>
        <w:rPr>
          <w:rFonts w:hint="eastAsia" w:ascii="宋体" w:hAnsi="宋体" w:eastAsia="宋体" w:cs="宋体"/>
          <w:sz w:val="28"/>
          <w:szCs w:val="28"/>
          <w:u w:val="none"/>
          <w:lang w:val="en-US" w:eastAsia="zh-CN"/>
        </w:rPr>
        <w:t>68.2</w:t>
      </w:r>
      <w:r>
        <w:rPr>
          <w:rFonts w:hint="eastAsia" w:ascii="宋体" w:hAnsi="宋体" w:eastAsia="宋体" w:cs="宋体"/>
          <w:sz w:val="28"/>
          <w:szCs w:val="28"/>
          <w:u w:val="none"/>
        </w:rPr>
        <w:t>%。主要原因是</w:t>
      </w:r>
      <w:r>
        <w:rPr>
          <w:rFonts w:hint="eastAsia" w:ascii="宋体" w:hAnsi="宋体" w:eastAsia="宋体" w:cs="宋体"/>
          <w:bCs/>
          <w:sz w:val="28"/>
          <w:szCs w:val="28"/>
          <w:highlight w:val="none"/>
          <w:u w:val="none"/>
          <w:lang w:val="en-US" w:eastAsia="zh-CN"/>
        </w:rPr>
        <w:t>今年增加了对我区企业项目产业发展资金及扶持资金。</w:t>
      </w:r>
    </w:p>
    <w:p w14:paraId="2B1210A3">
      <w:pPr>
        <w:shd w:val="clear" w:color="auto" w:fill="auto"/>
        <w:adjustRightInd w:val="0"/>
        <w:snapToGrid w:val="0"/>
        <w:spacing w:line="580" w:lineRule="atLeast"/>
        <w:ind w:firstLine="560" w:firstLineChars="200"/>
        <w:rPr>
          <w:rFonts w:hint="eastAsia" w:ascii="宋体" w:hAnsi="宋体" w:eastAsia="宋体" w:cs="宋体"/>
          <w:color w:val="FF0000"/>
          <w:sz w:val="28"/>
          <w:szCs w:val="28"/>
          <w:u w:val="none"/>
          <w:lang w:val="en-US" w:eastAsia="zh-CN"/>
        </w:rPr>
      </w:pPr>
      <w:r>
        <w:rPr>
          <w:rFonts w:hint="eastAsia" w:ascii="宋体" w:hAnsi="宋体" w:eastAsia="宋体" w:cs="宋体"/>
          <w:sz w:val="28"/>
          <w:szCs w:val="28"/>
          <w:u w:val="none"/>
          <w:lang w:val="en-US" w:eastAsia="zh-CN"/>
        </w:rPr>
        <w:t xml:space="preserve">2022年度财政拨款收入中，一般公共预算财政拨款收入1432.13    </w:t>
      </w:r>
      <w:r>
        <w:rPr>
          <w:rFonts w:hint="eastAsia" w:ascii="宋体" w:hAnsi="宋体" w:eastAsia="宋体" w:cs="宋体"/>
          <w:sz w:val="28"/>
          <w:szCs w:val="28"/>
          <w:u w:val="none"/>
        </w:rPr>
        <w:t>万元</w:t>
      </w:r>
      <w:r>
        <w:rPr>
          <w:rFonts w:hint="eastAsia" w:ascii="宋体" w:hAnsi="宋体" w:eastAsia="宋体" w:cs="宋体"/>
          <w:sz w:val="28"/>
          <w:szCs w:val="28"/>
          <w:u w:val="none"/>
          <w:lang w:eastAsia="zh-CN"/>
        </w:rPr>
        <w:t>，比</w:t>
      </w:r>
      <w:r>
        <w:rPr>
          <w:rFonts w:hint="eastAsia" w:ascii="宋体" w:hAnsi="宋体" w:eastAsia="宋体" w:cs="宋体"/>
          <w:sz w:val="28"/>
          <w:szCs w:val="28"/>
          <w:u w:val="none"/>
          <w:lang w:val="en-US" w:eastAsia="zh-CN"/>
        </w:rPr>
        <w:t>2021年度决算数增加580.65万元。</w:t>
      </w:r>
      <w:r>
        <w:rPr>
          <w:rFonts w:hint="eastAsia" w:ascii="宋体" w:hAnsi="宋体" w:eastAsia="宋体" w:cs="宋体"/>
          <w:sz w:val="28"/>
          <w:szCs w:val="28"/>
          <w:u w:val="none"/>
          <w:lang w:eastAsia="zh-CN"/>
        </w:rPr>
        <w:t>增加的</w:t>
      </w:r>
      <w:r>
        <w:rPr>
          <w:rFonts w:hint="eastAsia" w:ascii="宋体" w:hAnsi="宋体" w:eastAsia="宋体" w:cs="宋体"/>
          <w:sz w:val="28"/>
          <w:szCs w:val="28"/>
          <w:u w:val="none"/>
        </w:rPr>
        <w:t>主要原因是</w:t>
      </w:r>
      <w:r>
        <w:rPr>
          <w:rFonts w:hint="eastAsia" w:ascii="宋体" w:hAnsi="宋体" w:eastAsia="宋体" w:cs="宋体"/>
          <w:sz w:val="28"/>
          <w:szCs w:val="28"/>
          <w:u w:val="none"/>
          <w:lang w:val="en-US" w:eastAsia="zh-CN"/>
        </w:rPr>
        <w:t>今年增加了对我区企业项目产业发展资金及扶持资金。</w:t>
      </w:r>
      <w:r>
        <w:rPr>
          <w:rFonts w:hint="eastAsia" w:ascii="宋体" w:hAnsi="宋体" w:eastAsia="宋体" w:cs="宋体"/>
          <w:sz w:val="28"/>
          <w:szCs w:val="28"/>
          <w:u w:val="none"/>
          <w:lang w:eastAsia="zh-CN"/>
        </w:rPr>
        <w:t>政府性基金预算财政拨款收入</w:t>
      </w:r>
      <w:r>
        <w:rPr>
          <w:rFonts w:hint="eastAsia" w:ascii="宋体" w:hAnsi="宋体" w:eastAsia="宋体" w:cs="宋体"/>
          <w:sz w:val="28"/>
          <w:szCs w:val="28"/>
          <w:u w:val="none"/>
          <w:lang w:val="en-US" w:eastAsia="zh-CN"/>
        </w:rPr>
        <w:t>0万元，</w:t>
      </w:r>
      <w:r>
        <w:rPr>
          <w:rFonts w:hint="eastAsia" w:ascii="宋体" w:hAnsi="宋体" w:eastAsia="宋体" w:cs="宋体"/>
          <w:sz w:val="28"/>
          <w:szCs w:val="28"/>
          <w:u w:val="none"/>
        </w:rPr>
        <w:t>与上年决算对比无增减变化</w:t>
      </w:r>
      <w:r>
        <w:rPr>
          <w:rFonts w:hint="eastAsia" w:ascii="宋体" w:hAnsi="宋体" w:eastAsia="宋体" w:cs="宋体"/>
          <w:sz w:val="28"/>
          <w:szCs w:val="28"/>
          <w:u w:val="none"/>
          <w:lang w:eastAsia="zh-CN"/>
        </w:rPr>
        <w:t>，</w:t>
      </w:r>
      <w:r>
        <w:rPr>
          <w:rFonts w:hint="eastAsia" w:ascii="宋体" w:hAnsi="宋体" w:eastAsia="宋体" w:cs="宋体"/>
          <w:sz w:val="28"/>
          <w:szCs w:val="28"/>
          <w:u w:val="none"/>
        </w:rPr>
        <w:t>主要原因是</w:t>
      </w:r>
      <w:r>
        <w:rPr>
          <w:rFonts w:hint="eastAsia" w:ascii="宋体" w:hAnsi="宋体" w:eastAsia="宋体" w:cs="宋体"/>
          <w:sz w:val="28"/>
          <w:szCs w:val="28"/>
          <w:u w:val="none"/>
          <w:lang w:eastAsia="zh-CN"/>
        </w:rPr>
        <w:t>今年无此业务发生</w:t>
      </w:r>
      <w:r>
        <w:rPr>
          <w:rFonts w:hint="eastAsia" w:ascii="宋体" w:hAnsi="宋体" w:eastAsia="宋体" w:cs="宋体"/>
          <w:sz w:val="28"/>
          <w:szCs w:val="28"/>
          <w:u w:val="none"/>
        </w:rPr>
        <w:t>。国有资本经营预算财政拨款收入</w:t>
      </w:r>
      <w:r>
        <w:rPr>
          <w:rFonts w:hint="eastAsia" w:ascii="宋体" w:hAnsi="宋体" w:eastAsia="宋体" w:cs="宋体"/>
          <w:sz w:val="28"/>
          <w:szCs w:val="28"/>
          <w:u w:val="none"/>
          <w:lang w:val="en-US" w:eastAsia="zh-CN"/>
        </w:rPr>
        <w:t>0万元，</w:t>
      </w:r>
      <w:r>
        <w:rPr>
          <w:rFonts w:hint="eastAsia" w:ascii="宋体" w:hAnsi="宋体" w:eastAsia="宋体" w:cs="宋体"/>
          <w:sz w:val="28"/>
          <w:szCs w:val="28"/>
          <w:u w:val="none"/>
        </w:rPr>
        <w:t>与上年决算对比无增减变化</w:t>
      </w:r>
      <w:r>
        <w:rPr>
          <w:rFonts w:hint="eastAsia" w:ascii="宋体" w:hAnsi="宋体" w:eastAsia="宋体" w:cs="宋体"/>
          <w:sz w:val="28"/>
          <w:szCs w:val="28"/>
          <w:u w:val="none"/>
          <w:lang w:eastAsia="zh-CN"/>
        </w:rPr>
        <w:t>，</w:t>
      </w:r>
      <w:r>
        <w:rPr>
          <w:rFonts w:hint="eastAsia" w:ascii="宋体" w:hAnsi="宋体" w:eastAsia="宋体" w:cs="宋体"/>
          <w:sz w:val="28"/>
          <w:szCs w:val="28"/>
          <w:u w:val="none"/>
        </w:rPr>
        <w:t>主要原因是</w:t>
      </w:r>
      <w:r>
        <w:rPr>
          <w:rFonts w:hint="eastAsia" w:ascii="宋体" w:hAnsi="宋体" w:eastAsia="宋体" w:cs="宋体"/>
          <w:sz w:val="28"/>
          <w:szCs w:val="28"/>
          <w:u w:val="none"/>
          <w:lang w:eastAsia="zh-CN"/>
        </w:rPr>
        <w:t>今年无此业务发生</w:t>
      </w:r>
      <w:r>
        <w:rPr>
          <w:rFonts w:hint="eastAsia" w:ascii="宋体" w:hAnsi="宋体" w:eastAsia="宋体" w:cs="宋体"/>
          <w:sz w:val="28"/>
          <w:szCs w:val="28"/>
          <w:u w:val="none"/>
        </w:rPr>
        <w:t>。</w:t>
      </w:r>
    </w:p>
    <w:p w14:paraId="45DB3634">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五、一般公共预算财政拨款支出决算情况说明</w:t>
      </w:r>
    </w:p>
    <w:p w14:paraId="605F42EF">
      <w:pPr>
        <w:shd w:val="clear" w:color="auto" w:fill="auto"/>
        <w:adjustRightInd w:val="0"/>
        <w:snapToGrid w:val="0"/>
        <w:spacing w:line="580" w:lineRule="atLeast"/>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（一）一般公共预算财政拨款支出决算总体情况。</w:t>
      </w:r>
    </w:p>
    <w:p w14:paraId="64A196C6">
      <w:pPr>
        <w:shd w:val="clear" w:color="auto" w:fill="auto"/>
        <w:adjustRightInd w:val="0"/>
        <w:snapToGrid w:val="0"/>
        <w:spacing w:line="580" w:lineRule="atLeast"/>
        <w:ind w:firstLine="560" w:firstLineChars="200"/>
        <w:rPr>
          <w:rFonts w:hint="eastAsia" w:ascii="宋体" w:hAnsi="宋体" w:eastAsia="宋体" w:cs="宋体"/>
          <w:bCs/>
          <w:kern w:val="44"/>
          <w:sz w:val="28"/>
          <w:szCs w:val="28"/>
          <w:highlight w:val="none"/>
          <w:u w:val="none"/>
        </w:rPr>
      </w:pPr>
      <w:r>
        <w:rPr>
          <w:rFonts w:hint="eastAsia" w:ascii="宋体" w:hAnsi="宋体" w:eastAsia="宋体" w:cs="宋体"/>
          <w:sz w:val="28"/>
          <w:szCs w:val="28"/>
          <w:u w:val="none"/>
          <w:lang w:val="en-US" w:eastAsia="zh-CN"/>
        </w:rPr>
        <w:t>2022年度一般公共预算财政拨款支出1432.13万元，占本年支出合计的100%。与2021年度相比，一般公共预算财政拨款支出增加580.65 万</w:t>
      </w:r>
      <w:r>
        <w:rPr>
          <w:rFonts w:hint="eastAsia" w:ascii="宋体" w:hAnsi="宋体" w:eastAsia="宋体" w:cs="宋体"/>
          <w:bCs/>
          <w:kern w:val="44"/>
          <w:sz w:val="28"/>
          <w:szCs w:val="28"/>
          <w:highlight w:val="none"/>
          <w:u w:val="none"/>
        </w:rPr>
        <w:t>元，增长</w:t>
      </w:r>
      <w:r>
        <w:rPr>
          <w:rFonts w:hint="eastAsia" w:ascii="宋体" w:hAnsi="宋体" w:eastAsia="宋体" w:cs="宋体"/>
          <w:bCs/>
          <w:kern w:val="44"/>
          <w:sz w:val="28"/>
          <w:szCs w:val="28"/>
          <w:highlight w:val="none"/>
          <w:u w:val="none"/>
          <w:lang w:val="en-US" w:eastAsia="zh-CN"/>
        </w:rPr>
        <w:t>68.2</w:t>
      </w:r>
      <w:r>
        <w:rPr>
          <w:rFonts w:hint="eastAsia" w:ascii="宋体" w:hAnsi="宋体" w:eastAsia="宋体" w:cs="宋体"/>
          <w:bCs/>
          <w:kern w:val="44"/>
          <w:sz w:val="28"/>
          <w:szCs w:val="28"/>
          <w:highlight w:val="none"/>
          <w:u w:val="none"/>
        </w:rPr>
        <w:t>%。主要原因是</w:t>
      </w:r>
      <w:r>
        <w:rPr>
          <w:rFonts w:hint="eastAsia" w:ascii="宋体" w:hAnsi="宋体" w:eastAsia="宋体" w:cs="宋体"/>
          <w:bCs/>
          <w:sz w:val="28"/>
          <w:szCs w:val="28"/>
          <w:highlight w:val="none"/>
          <w:u w:val="none"/>
          <w:lang w:val="en-US" w:eastAsia="zh-CN"/>
        </w:rPr>
        <w:t>今年增加了对我区企业项目产业发展资金及扶持资金。</w:t>
      </w:r>
    </w:p>
    <w:p w14:paraId="69046EAF">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rPr>
      </w:pPr>
      <w:r>
        <w:rPr>
          <w:rFonts w:hint="eastAsia" w:ascii="宋体" w:hAnsi="宋体" w:eastAsia="宋体" w:cs="宋体"/>
          <w:bCs/>
          <w:kern w:val="44"/>
          <w:sz w:val="28"/>
          <w:szCs w:val="28"/>
          <w:highlight w:val="none"/>
          <w:u w:val="none"/>
          <w:lang w:eastAsia="zh-CN"/>
        </w:rPr>
        <w:t>（二）一般公共预算</w:t>
      </w:r>
      <w:r>
        <w:rPr>
          <w:rFonts w:hint="eastAsia" w:ascii="宋体" w:hAnsi="宋体" w:eastAsia="宋体" w:cs="宋体"/>
          <w:bCs/>
          <w:kern w:val="44"/>
          <w:sz w:val="28"/>
          <w:szCs w:val="28"/>
          <w:highlight w:val="none"/>
          <w:u w:val="none"/>
        </w:rPr>
        <w:t>财政拨款支出决算结构情况。</w:t>
      </w:r>
    </w:p>
    <w:p w14:paraId="6BBEB5DE">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w:t>
      </w:r>
      <w:r>
        <w:rPr>
          <w:rFonts w:hint="eastAsia" w:ascii="宋体" w:hAnsi="宋体" w:eastAsia="宋体" w:cs="宋体"/>
          <w:bCs/>
          <w:kern w:val="44"/>
          <w:sz w:val="28"/>
          <w:szCs w:val="28"/>
          <w:highlight w:val="none"/>
          <w:u w:val="none"/>
        </w:rPr>
        <w:t>度</w:t>
      </w:r>
      <w:r>
        <w:rPr>
          <w:rFonts w:hint="eastAsia" w:ascii="宋体" w:hAnsi="宋体" w:eastAsia="宋体" w:cs="宋体"/>
          <w:bCs/>
          <w:kern w:val="44"/>
          <w:sz w:val="28"/>
          <w:szCs w:val="28"/>
          <w:highlight w:val="none"/>
          <w:u w:val="none"/>
          <w:lang w:eastAsia="zh-CN"/>
        </w:rPr>
        <w:t>一般公共预算</w:t>
      </w:r>
      <w:r>
        <w:rPr>
          <w:rFonts w:hint="eastAsia" w:ascii="宋体" w:hAnsi="宋体" w:eastAsia="宋体" w:cs="宋体"/>
          <w:bCs/>
          <w:kern w:val="44"/>
          <w:sz w:val="28"/>
          <w:szCs w:val="28"/>
          <w:highlight w:val="none"/>
          <w:u w:val="none"/>
        </w:rPr>
        <w:t>财政拨款支出</w:t>
      </w:r>
      <w:r>
        <w:rPr>
          <w:rFonts w:hint="eastAsia" w:ascii="宋体" w:hAnsi="宋体" w:eastAsia="宋体" w:cs="宋体"/>
          <w:bCs/>
          <w:kern w:val="44"/>
          <w:sz w:val="28"/>
          <w:szCs w:val="28"/>
          <w:highlight w:val="none"/>
          <w:u w:val="none"/>
          <w:lang w:val="en-US" w:eastAsia="zh-CN"/>
        </w:rPr>
        <w:t>1432.13</w:t>
      </w:r>
      <w:r>
        <w:rPr>
          <w:rFonts w:hint="eastAsia" w:ascii="宋体" w:hAnsi="宋体" w:eastAsia="宋体" w:cs="宋体"/>
          <w:bCs/>
          <w:kern w:val="44"/>
          <w:sz w:val="28"/>
          <w:szCs w:val="28"/>
          <w:highlight w:val="none"/>
          <w:u w:val="none"/>
        </w:rPr>
        <w:t>万元，主要用于以下方面：</w:t>
      </w:r>
    </w:p>
    <w:p w14:paraId="1CE3051A">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lang w:val="en-US" w:eastAsia="zh-CN"/>
        </w:rPr>
      </w:pPr>
      <w:r>
        <w:rPr>
          <w:rFonts w:hint="eastAsia" w:ascii="宋体" w:hAnsi="宋体" w:eastAsia="宋体" w:cs="宋体"/>
          <w:bCs/>
          <w:kern w:val="44"/>
          <w:sz w:val="28"/>
          <w:szCs w:val="28"/>
          <w:highlight w:val="none"/>
          <w:u w:val="none"/>
          <w:lang w:val="en-US" w:eastAsia="zh-CN"/>
        </w:rPr>
        <w:t>1.</w:t>
      </w:r>
      <w:r>
        <w:rPr>
          <w:rFonts w:hint="eastAsia" w:ascii="宋体" w:hAnsi="宋体" w:eastAsia="宋体" w:cs="宋体"/>
          <w:bCs/>
          <w:kern w:val="44"/>
          <w:sz w:val="28"/>
          <w:szCs w:val="28"/>
          <w:highlight w:val="none"/>
          <w:u w:val="none"/>
        </w:rPr>
        <w:t>一般公共服务（类）支出</w:t>
      </w:r>
      <w:r>
        <w:rPr>
          <w:rFonts w:hint="eastAsia" w:ascii="宋体" w:hAnsi="宋体" w:eastAsia="宋体" w:cs="宋体"/>
          <w:bCs/>
          <w:kern w:val="44"/>
          <w:sz w:val="28"/>
          <w:szCs w:val="28"/>
          <w:highlight w:val="none"/>
          <w:u w:val="none"/>
          <w:lang w:val="en-US" w:eastAsia="zh-CN"/>
        </w:rPr>
        <w:t>270.68</w:t>
      </w:r>
      <w:r>
        <w:rPr>
          <w:rFonts w:hint="eastAsia" w:ascii="宋体" w:hAnsi="宋体" w:eastAsia="宋体" w:cs="宋体"/>
          <w:bCs/>
          <w:kern w:val="44"/>
          <w:sz w:val="28"/>
          <w:szCs w:val="28"/>
          <w:highlight w:val="none"/>
          <w:u w:val="none"/>
        </w:rPr>
        <w:t xml:space="preserve">万元，占 </w:t>
      </w:r>
      <w:r>
        <w:rPr>
          <w:rFonts w:hint="eastAsia" w:ascii="宋体" w:hAnsi="宋体" w:eastAsia="宋体" w:cs="宋体"/>
          <w:bCs/>
          <w:kern w:val="44"/>
          <w:sz w:val="28"/>
          <w:szCs w:val="28"/>
          <w:highlight w:val="none"/>
          <w:u w:val="none"/>
          <w:lang w:val="en-US" w:eastAsia="zh-CN"/>
        </w:rPr>
        <w:t>18.9</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。主要是用于人员经费、公用经费支出。</w:t>
      </w:r>
    </w:p>
    <w:p w14:paraId="36E08C84">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eastAsia="仿宋_GB2312"/>
          <w:b/>
          <w:bCs w:val="0"/>
          <w:color w:val="FF0000"/>
          <w:kern w:val="44"/>
          <w:sz w:val="32"/>
          <w:szCs w:val="32"/>
          <w:highlight w:val="none"/>
          <w:lang w:eastAsia="zh-CN"/>
        </w:rPr>
      </w:pPr>
      <w:r>
        <w:rPr>
          <w:rFonts w:hint="eastAsia" w:ascii="宋体" w:hAnsi="宋体" w:eastAsia="宋体" w:cs="宋体"/>
          <w:bCs/>
          <w:kern w:val="44"/>
          <w:sz w:val="28"/>
          <w:szCs w:val="28"/>
          <w:highlight w:val="none"/>
          <w:u w:val="none"/>
          <w:lang w:val="en-US" w:eastAsia="zh-CN"/>
        </w:rPr>
        <w:t>2.科学技术支出（类）1161.45</w:t>
      </w:r>
      <w:r>
        <w:rPr>
          <w:rFonts w:hint="eastAsia" w:ascii="宋体" w:hAnsi="宋体" w:eastAsia="宋体" w:cs="宋体"/>
          <w:bCs/>
          <w:kern w:val="44"/>
          <w:sz w:val="28"/>
          <w:szCs w:val="28"/>
          <w:highlight w:val="none"/>
          <w:u w:val="none"/>
        </w:rPr>
        <w:t>万元，占</w:t>
      </w:r>
      <w:r>
        <w:rPr>
          <w:rFonts w:hint="eastAsia" w:ascii="宋体" w:hAnsi="宋体" w:eastAsia="宋体" w:cs="宋体"/>
          <w:bCs/>
          <w:kern w:val="44"/>
          <w:sz w:val="28"/>
          <w:szCs w:val="28"/>
          <w:highlight w:val="none"/>
          <w:u w:val="none"/>
          <w:lang w:val="en-US" w:eastAsia="zh-CN"/>
        </w:rPr>
        <w:t>81.1</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。主要是用于科技奖励支出。</w:t>
      </w:r>
    </w:p>
    <w:p w14:paraId="0AF61A42">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（三）</w:t>
      </w:r>
      <w:r>
        <w:rPr>
          <w:rFonts w:hint="eastAsia" w:ascii="宋体" w:hAnsi="宋体" w:eastAsia="宋体" w:cs="宋体"/>
          <w:bCs/>
          <w:kern w:val="44"/>
          <w:sz w:val="28"/>
          <w:szCs w:val="28"/>
          <w:highlight w:val="none"/>
          <w:lang w:eastAsia="zh-CN"/>
        </w:rPr>
        <w:t>一般公共预算</w:t>
      </w:r>
      <w:r>
        <w:rPr>
          <w:rFonts w:hint="eastAsia" w:ascii="宋体" w:hAnsi="宋体" w:eastAsia="宋体" w:cs="宋体"/>
          <w:bCs/>
          <w:kern w:val="44"/>
          <w:sz w:val="28"/>
          <w:szCs w:val="28"/>
          <w:highlight w:val="none"/>
        </w:rPr>
        <w:t>财政拨款支出决算具体情况。</w:t>
      </w:r>
    </w:p>
    <w:p w14:paraId="68ABDB2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hAnsi="仿宋_GB2312" w:eastAsia="仿宋_GB2312" w:cs="仿宋_GB2312"/>
          <w:b/>
          <w:bCs w:val="0"/>
          <w:color w:val="FF0000"/>
          <w:kern w:val="44"/>
          <w:sz w:val="32"/>
          <w:szCs w:val="32"/>
          <w:highlight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年度</w:t>
      </w:r>
      <w:r>
        <w:rPr>
          <w:rFonts w:hint="eastAsia" w:ascii="宋体" w:hAnsi="宋体" w:eastAsia="宋体" w:cs="宋体"/>
          <w:bCs/>
          <w:kern w:val="44"/>
          <w:sz w:val="28"/>
          <w:szCs w:val="28"/>
          <w:highlight w:val="none"/>
          <w:u w:val="none"/>
        </w:rPr>
        <w:t>一般公共预算财政拨款支出年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340.22</w:t>
      </w:r>
      <w:r>
        <w:rPr>
          <w:rFonts w:hint="eastAsia" w:ascii="宋体" w:hAnsi="宋体" w:eastAsia="宋体" w:cs="宋体"/>
          <w:bCs/>
          <w:kern w:val="44"/>
          <w:sz w:val="28"/>
          <w:szCs w:val="28"/>
          <w:highlight w:val="none"/>
          <w:u w:val="none"/>
        </w:rPr>
        <w:t>万元</w:t>
      </w:r>
      <w:r>
        <w:rPr>
          <w:rFonts w:hint="eastAsia" w:ascii="宋体" w:hAnsi="宋体" w:eastAsia="宋体" w:cs="宋体"/>
          <w:sz w:val="28"/>
          <w:szCs w:val="28"/>
          <w:highlight w:val="none"/>
          <w:u w:val="none"/>
        </w:rPr>
        <w:t>，</w:t>
      </w:r>
      <w:r>
        <w:rPr>
          <w:rFonts w:hint="eastAsia" w:ascii="宋体" w:hAnsi="宋体" w:eastAsia="宋体" w:cs="宋体"/>
          <w:bCs/>
          <w:kern w:val="44"/>
          <w:sz w:val="28"/>
          <w:szCs w:val="28"/>
          <w:highlight w:val="none"/>
          <w:u w:val="none"/>
        </w:rPr>
        <w:t>支出决算为</w:t>
      </w:r>
      <w:r>
        <w:rPr>
          <w:rFonts w:hint="eastAsia" w:ascii="宋体" w:hAnsi="宋体" w:eastAsia="宋体" w:cs="宋体"/>
          <w:bCs/>
          <w:kern w:val="44"/>
          <w:sz w:val="28"/>
          <w:szCs w:val="28"/>
          <w:highlight w:val="none"/>
          <w:u w:val="none"/>
          <w:lang w:val="en-US" w:eastAsia="zh-CN"/>
        </w:rPr>
        <w:t>1432.13</w:t>
      </w:r>
      <w:r>
        <w:rPr>
          <w:rFonts w:hint="eastAsia" w:ascii="宋体" w:hAnsi="宋体" w:eastAsia="宋体" w:cs="宋体"/>
          <w:bCs/>
          <w:kern w:val="44"/>
          <w:sz w:val="28"/>
          <w:szCs w:val="28"/>
          <w:highlight w:val="none"/>
          <w:u w:val="none"/>
        </w:rPr>
        <w:t>万元，完成年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420.9</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rPr>
        <w:t>其中：</w:t>
      </w:r>
    </w:p>
    <w:p w14:paraId="41643A7D">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kern w:val="44"/>
          <w:sz w:val="28"/>
          <w:szCs w:val="28"/>
          <w:highlight w:val="none"/>
          <w:u w:val="none"/>
        </w:rPr>
        <w:t>1.一般公共服务支出(类)</w:t>
      </w:r>
      <w:r>
        <w:rPr>
          <w:rFonts w:hint="eastAsia" w:ascii="宋体" w:hAnsi="宋体" w:eastAsia="宋体" w:cs="宋体"/>
          <w:bCs/>
          <w:kern w:val="44"/>
          <w:sz w:val="28"/>
          <w:szCs w:val="28"/>
          <w:highlight w:val="none"/>
          <w:u w:val="none"/>
          <w:lang w:eastAsia="zh-CN"/>
        </w:rPr>
        <w:t>商贸事务（款）招商引资（项）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180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132.15</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73.4</w:t>
      </w:r>
      <w:r>
        <w:rPr>
          <w:rFonts w:hint="eastAsia" w:ascii="宋体" w:hAnsi="宋体" w:eastAsia="宋体" w:cs="宋体"/>
          <w:bCs/>
          <w:kern w:val="44"/>
          <w:sz w:val="28"/>
          <w:szCs w:val="28"/>
          <w:highlight w:val="none"/>
          <w:u w:val="none"/>
        </w:rPr>
        <w:t>%，支出决算数小于年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：单位在大力开展招商</w:t>
      </w:r>
      <w:r>
        <w:rPr>
          <w:rFonts w:hint="eastAsia" w:ascii="宋体" w:hAnsi="宋体" w:eastAsia="宋体" w:cs="宋体"/>
          <w:bCs/>
          <w:kern w:val="44"/>
          <w:sz w:val="28"/>
          <w:szCs w:val="28"/>
          <w:highlight w:val="none"/>
          <w:u w:val="none"/>
          <w:lang w:val="en-US" w:eastAsia="zh-CN"/>
        </w:rPr>
        <w:t>引资工作的同时，严格控制经费支出，结余部分资金</w:t>
      </w:r>
      <w:r>
        <w:rPr>
          <w:rFonts w:hint="eastAsia" w:ascii="宋体" w:hAnsi="宋体" w:eastAsia="宋体" w:cs="宋体"/>
          <w:bCs/>
          <w:kern w:val="44"/>
          <w:sz w:val="28"/>
          <w:szCs w:val="28"/>
          <w:highlight w:val="none"/>
          <w:u w:val="none"/>
        </w:rPr>
        <w:t>。</w:t>
      </w:r>
    </w:p>
    <w:p w14:paraId="4317EBAC">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rPr>
        <w:t>2.</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商贸事务（款）事业运行（项）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160.22</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138.53</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86.5</w:t>
      </w:r>
      <w:r>
        <w:rPr>
          <w:rFonts w:hint="eastAsia" w:ascii="宋体" w:hAnsi="宋体" w:eastAsia="宋体" w:cs="宋体"/>
          <w:bCs/>
          <w:kern w:val="44"/>
          <w:sz w:val="28"/>
          <w:szCs w:val="28"/>
          <w:highlight w:val="none"/>
          <w:u w:val="none"/>
        </w:rPr>
        <w:t>%，支出决算数小于年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：今年工资结构改革，取消各项奖励，结余人员经费资金</w:t>
      </w:r>
      <w:r>
        <w:rPr>
          <w:rFonts w:hint="eastAsia" w:ascii="宋体" w:hAnsi="宋体" w:eastAsia="宋体" w:cs="宋体"/>
          <w:bCs/>
          <w:kern w:val="44"/>
          <w:sz w:val="28"/>
          <w:szCs w:val="28"/>
          <w:highlight w:val="none"/>
          <w:u w:val="none"/>
        </w:rPr>
        <w:t>。</w:t>
      </w:r>
    </w:p>
    <w:p w14:paraId="4DAE0834">
      <w:pPr>
        <w:pStyle w:val="14"/>
        <w:pageBreakBefore w:val="0"/>
        <w:widowControl w:val="0"/>
        <w:shd w:val="clear" w:color="auto" w:fill="auto"/>
        <w:kinsoku/>
        <w:wordWrap/>
        <w:overflowPunct/>
        <w:topLinePunct w:val="0"/>
        <w:bidi w:val="0"/>
        <w:snapToGrid w:val="0"/>
        <w:spacing w:line="360" w:lineRule="auto"/>
        <w:ind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bCs/>
          <w:color w:val="auto"/>
          <w:kern w:val="44"/>
          <w:sz w:val="28"/>
          <w:szCs w:val="28"/>
          <w:highlight w:val="none"/>
          <w:u w:val="none"/>
          <w:lang w:val="en-US" w:eastAsia="zh-CN"/>
        </w:rPr>
        <w:t>3</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科学技术支出(类)</w:t>
      </w:r>
      <w:r>
        <w:rPr>
          <w:rFonts w:hint="eastAsia" w:ascii="宋体" w:hAnsi="宋体" w:eastAsia="宋体" w:cs="宋体"/>
          <w:bCs/>
          <w:kern w:val="44"/>
          <w:sz w:val="28"/>
          <w:szCs w:val="28"/>
          <w:highlight w:val="none"/>
          <w:u w:val="none"/>
          <w:lang w:eastAsia="zh-CN"/>
        </w:rPr>
        <w:t>其他科学技术支出（款）科技奖励（项）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1161.45</w:t>
      </w:r>
      <w:r>
        <w:rPr>
          <w:rFonts w:hint="eastAsia" w:ascii="宋体" w:hAnsi="宋体" w:eastAsia="宋体" w:cs="宋体"/>
          <w:bCs/>
          <w:kern w:val="44"/>
          <w:sz w:val="28"/>
          <w:szCs w:val="28"/>
          <w:highlight w:val="none"/>
          <w:u w:val="none"/>
        </w:rPr>
        <w:t>万元，</w:t>
      </w:r>
      <w:r>
        <w:rPr>
          <w:rFonts w:hint="eastAsia" w:ascii="宋体" w:hAnsi="宋体" w:eastAsia="宋体" w:cs="宋体"/>
          <w:bCs/>
          <w:kern w:val="44"/>
          <w:sz w:val="28"/>
          <w:szCs w:val="28"/>
          <w:highlight w:val="none"/>
          <w:u w:val="none"/>
          <w:lang w:eastAsia="zh-CN"/>
        </w:rPr>
        <w:t>今年无此预算</w:t>
      </w:r>
      <w:r>
        <w:rPr>
          <w:rFonts w:hint="eastAsia" w:ascii="宋体" w:hAnsi="宋体" w:eastAsia="宋体" w:cs="宋体"/>
          <w:bCs/>
          <w:kern w:val="44"/>
          <w:sz w:val="28"/>
          <w:szCs w:val="28"/>
          <w:highlight w:val="none"/>
          <w:u w:val="none"/>
        </w:rPr>
        <w:t>，支出决算数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：今年增加了对我区企业</w:t>
      </w:r>
      <w:r>
        <w:rPr>
          <w:rFonts w:hint="eastAsia" w:ascii="宋体" w:hAnsi="宋体" w:eastAsia="宋体" w:cs="宋体"/>
          <w:bCs/>
          <w:sz w:val="28"/>
          <w:szCs w:val="28"/>
          <w:highlight w:val="none"/>
          <w:u w:val="none"/>
          <w:lang w:val="en-US" w:eastAsia="zh-CN"/>
        </w:rPr>
        <w:t>项目产业发展资金及扶持资金。</w:t>
      </w:r>
    </w:p>
    <w:p w14:paraId="1CA5804A">
      <w:pPr>
        <w:shd w:val="clear" w:color="auto" w:fill="auto"/>
        <w:bidi w:val="0"/>
        <w:ind w:firstLine="562" w:firstLineChars="200"/>
        <w:rPr>
          <w:rFonts w:hint="eastAsia"/>
          <w:lang w:val="en-US" w:eastAsia="zh-CN"/>
        </w:rPr>
      </w:pPr>
      <w:r>
        <w:rPr>
          <w:rFonts w:hint="eastAsia" w:ascii="宋体" w:hAnsi="宋体" w:eastAsia="宋体" w:cs="宋体"/>
          <w:b/>
          <w:bCs w:val="0"/>
          <w:sz w:val="28"/>
          <w:szCs w:val="28"/>
          <w:highlight w:val="none"/>
          <w:lang w:val="en-US" w:eastAsia="zh-CN"/>
        </w:rPr>
        <w:t>六、一般公共预算财政拨款基本支出决算情况说明</w:t>
      </w:r>
    </w:p>
    <w:p w14:paraId="3801F6C0">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2022年度一般公共预算财政拨款基本支出138.53万元，其中：</w:t>
      </w:r>
    </w:p>
    <w:p w14:paraId="5EAF957F">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人员经费124万元，主要包括：基本工资、津贴补贴、奖金、绩效工资、机关事业单位基本养老保险缴费、职工基本医疗保险缴费、公务员医疗补助缴费、住房公积金、其他工资福利支出、退休费。</w:t>
      </w:r>
    </w:p>
    <w:p w14:paraId="18ED349E">
      <w:pPr>
        <w:shd w:val="clear" w:color="auto" w:fill="auto"/>
        <w:bidi w:val="0"/>
        <w:ind w:firstLine="560" w:firstLineChars="200"/>
        <w:rPr>
          <w:rFonts w:hint="default" w:ascii="仿宋_GB2312" w:eastAsia="仿宋_GB2312"/>
          <w:b/>
          <w:bCs/>
          <w:color w:val="FF0000"/>
          <w:sz w:val="32"/>
          <w:szCs w:val="32"/>
          <w:highlight w:val="none"/>
          <w:lang w:val="en-US" w:eastAsia="zh-CN"/>
        </w:rPr>
      </w:pPr>
      <w:r>
        <w:rPr>
          <w:rFonts w:hint="eastAsia" w:ascii="宋体" w:hAnsi="宋体" w:eastAsia="宋体" w:cs="宋体"/>
          <w:sz w:val="28"/>
          <w:szCs w:val="28"/>
          <w:u w:val="none"/>
          <w:lang w:val="en-US" w:eastAsia="zh-CN"/>
        </w:rPr>
        <w:t>公用经费14.53万元，主要包括：办公费、电费、培训费、工会经费、福利费、其他交通费用、其他商品和服务支出。</w:t>
      </w:r>
    </w:p>
    <w:p w14:paraId="3F723D2E">
      <w:pPr>
        <w:numPr>
          <w:ilvl w:val="0"/>
          <w:numId w:val="0"/>
        </w:numPr>
        <w:shd w:val="clear" w:color="auto" w:fill="auto"/>
        <w:bidi w:val="0"/>
        <w:ind w:firstLine="562" w:firstLineChars="200"/>
        <w:rPr>
          <w:rFonts w:hint="eastAsia" w:ascii="黑体" w:hAnsi="黑体" w:eastAsia="黑体" w:cs="黑体"/>
          <w:sz w:val="32"/>
          <w:szCs w:val="32"/>
          <w:lang w:val="en-US" w:eastAsia="zh-CN"/>
        </w:rPr>
      </w:pPr>
      <w:r>
        <w:rPr>
          <w:rFonts w:hint="eastAsia" w:ascii="宋体" w:hAnsi="宋体" w:eastAsia="宋体" w:cs="宋体"/>
          <w:b/>
          <w:bCs w:val="0"/>
          <w:sz w:val="28"/>
          <w:szCs w:val="28"/>
          <w:highlight w:val="none"/>
          <w:lang w:val="en-US" w:eastAsia="zh-CN"/>
        </w:rPr>
        <w:t>七、政府性基金预算财政拨款收入支出决算情况说明</w:t>
      </w:r>
      <w:r>
        <w:rPr>
          <w:rFonts w:hint="eastAsia" w:ascii="黑体" w:hAnsi="黑体" w:eastAsia="黑体" w:cs="黑体"/>
          <w:lang w:val="en-US" w:eastAsia="zh-CN"/>
        </w:rPr>
        <w:t xml:space="preserve"> </w:t>
      </w:r>
    </w:p>
    <w:p w14:paraId="3BE7A819">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下陆区招商服务中心当年无政府性基金预算财政拨款收入支出</w:t>
      </w:r>
    </w:p>
    <w:p w14:paraId="478FA8A8">
      <w:pPr>
        <w:numPr>
          <w:ilvl w:val="0"/>
          <w:numId w:val="0"/>
        </w:numPr>
        <w:shd w:val="clear" w:color="auto" w:fill="auto"/>
        <w:bidi w:val="0"/>
        <w:ind w:firstLine="562" w:firstLineChars="20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八、国有资本经营预算财政拨款支出决算情况说明</w:t>
      </w:r>
    </w:p>
    <w:p w14:paraId="347BEC75">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下陆区招商服务中心当年无国有资本经营预算财政拨款支出。</w:t>
      </w:r>
    </w:p>
    <w:p w14:paraId="5DB29F7A">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 xml:space="preserve">九、一般公共预算财政拨款“三公”经费支出决算情况说明 </w:t>
      </w:r>
    </w:p>
    <w:p w14:paraId="40D1FED1">
      <w:pPr>
        <w:numPr>
          <w:ilvl w:val="0"/>
          <w:numId w:val="0"/>
        </w:numPr>
        <w:shd w:val="clear" w:color="auto" w:fill="auto"/>
        <w:bidi w:val="0"/>
        <w:ind w:left="420" w:leftChars="20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（一）“三公”经费财政拨款支出决算总体情况说明。</w:t>
      </w:r>
    </w:p>
    <w:p w14:paraId="59A87BEF">
      <w:pPr>
        <w:numPr>
          <w:ilvl w:val="0"/>
          <w:numId w:val="0"/>
        </w:num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三公”经费财政拨款支出预算为17.5万元，支出决算为14.68万元，完成预算的83.9%。较上年增加3.67万元，增长33.3 %。决算数小于预算数的主要原因：单位厉行节约、严格控制经费支出。决算数较上年增加的主要原因：2021年受疫情影响，部分业务无法正常进行。</w:t>
      </w:r>
    </w:p>
    <w:p w14:paraId="0D0778EB">
      <w:pPr>
        <w:numPr>
          <w:ilvl w:val="0"/>
          <w:numId w:val="0"/>
        </w:numPr>
        <w:shd w:val="clear" w:color="auto" w:fill="auto"/>
        <w:bidi w:val="0"/>
        <w:ind w:left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（二）“三公”经费财政拨款支出决算具体情况说明。</w:t>
      </w:r>
    </w:p>
    <w:p w14:paraId="43D0F612">
      <w:pPr>
        <w:shd w:val="clear" w:color="auto" w:fill="auto"/>
        <w:ind w:firstLine="560" w:firstLineChars="200"/>
        <w:rPr>
          <w:rFonts w:hint="eastAsia" w:ascii="宋体" w:hAnsi="宋体" w:eastAsia="宋体" w:cs="宋体"/>
          <w:sz w:val="28"/>
          <w:szCs w:val="28"/>
          <w:u w:val="none"/>
          <w:lang w:val="en-US" w:eastAsia="zh-CN"/>
        </w:rPr>
      </w:pPr>
      <w:r>
        <w:rPr>
          <w:rFonts w:hint="eastAsia" w:ascii="宋体" w:hAnsi="宋体" w:eastAsia="宋体" w:cs="宋体"/>
          <w:color w:val="000000"/>
          <w:sz w:val="28"/>
          <w:szCs w:val="28"/>
          <w:highlight w:val="none"/>
          <w:u w:val="none"/>
        </w:rPr>
        <w:t>1.因公出国(境)费</w:t>
      </w:r>
      <w:r>
        <w:rPr>
          <w:rFonts w:hint="eastAsia" w:ascii="宋体" w:hAnsi="宋体" w:eastAsia="宋体" w:cs="宋体"/>
          <w:color w:val="000000"/>
          <w:sz w:val="28"/>
          <w:szCs w:val="28"/>
          <w:highlight w:val="none"/>
          <w:u w:val="none"/>
          <w:lang w:val="en-US" w:eastAsia="zh-CN"/>
        </w:rPr>
        <w:t>预算为0万元，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与上年决算数对比无增减变化，</w:t>
      </w:r>
      <w:r>
        <w:rPr>
          <w:rFonts w:hint="eastAsia" w:ascii="宋体" w:hAnsi="宋体" w:eastAsia="宋体" w:cs="宋体"/>
          <w:sz w:val="28"/>
          <w:szCs w:val="28"/>
          <w:u w:val="none"/>
          <w:lang w:val="en-US" w:eastAsia="zh-CN"/>
        </w:rPr>
        <w:t>主要原因是本部门本年与上年均无此业务发生，</w:t>
      </w:r>
      <w:r>
        <w:rPr>
          <w:rFonts w:hint="eastAsia" w:ascii="宋体" w:hAnsi="宋体" w:eastAsia="宋体" w:cs="宋体"/>
          <w:color w:val="000000"/>
          <w:sz w:val="28"/>
          <w:szCs w:val="28"/>
          <w:highlight w:val="none"/>
          <w:u w:val="none"/>
          <w:lang w:eastAsia="zh-CN"/>
        </w:rPr>
        <w:t>与本年预算数对比无增减变化。</w:t>
      </w:r>
      <w:r>
        <w:rPr>
          <w:rFonts w:hint="eastAsia" w:ascii="宋体" w:hAnsi="宋体" w:eastAsia="宋体" w:cs="宋体"/>
          <w:sz w:val="28"/>
          <w:szCs w:val="28"/>
          <w:u w:val="none"/>
          <w:lang w:val="en-US" w:eastAsia="zh-CN"/>
        </w:rPr>
        <w:t>主要原因是本部门无此业务发生。</w:t>
      </w:r>
    </w:p>
    <w:p w14:paraId="0831B053">
      <w:pPr>
        <w:shd w:val="clear" w:color="auto" w:fill="auto"/>
        <w:ind w:firstLine="560" w:firstLineChars="200"/>
        <w:rPr>
          <w:rFonts w:hint="eastAsia" w:ascii="宋体" w:hAnsi="宋体" w:eastAsia="宋体" w:cs="宋体"/>
          <w:color w:val="000000"/>
          <w:sz w:val="28"/>
          <w:szCs w:val="28"/>
          <w:highlight w:val="none"/>
          <w:u w:val="none"/>
          <w:lang w:val="en-US" w:eastAsia="zh-CN"/>
        </w:rPr>
      </w:pPr>
      <w:r>
        <w:rPr>
          <w:rFonts w:hint="eastAsia" w:ascii="宋体" w:hAnsi="宋体" w:eastAsia="宋体" w:cs="宋体"/>
          <w:sz w:val="28"/>
          <w:szCs w:val="28"/>
          <w:u w:val="none"/>
          <w:lang w:val="en-US" w:eastAsia="zh-CN"/>
        </w:rPr>
        <w:t>全年支出涉及出国（境）团组0个，累计</w:t>
      </w:r>
      <w:r>
        <w:rPr>
          <w:rFonts w:hint="eastAsia" w:ascii="宋体" w:hAnsi="宋体" w:eastAsia="宋体" w:cs="宋体"/>
          <w:color w:val="000000"/>
          <w:sz w:val="28"/>
          <w:szCs w:val="28"/>
          <w:highlight w:val="none"/>
          <w:u w:val="none"/>
          <w:lang w:val="en-US" w:eastAsia="zh-CN"/>
        </w:rPr>
        <w:t>0人次。</w:t>
      </w:r>
    </w:p>
    <w:p w14:paraId="54B17F8E">
      <w:pPr>
        <w:numPr>
          <w:ilvl w:val="0"/>
          <w:numId w:val="0"/>
        </w:numPr>
        <w:shd w:val="clear" w:color="auto" w:fill="auto"/>
        <w:bidi w:val="0"/>
        <w:ind w:firstLine="560" w:firstLineChars="200"/>
        <w:rPr>
          <w:rFonts w:hint="eastAsia" w:ascii="宋体" w:hAnsi="宋体" w:eastAsia="宋体" w:cs="宋体"/>
          <w:color w:val="000000"/>
          <w:sz w:val="28"/>
          <w:szCs w:val="28"/>
          <w:highlight w:val="yellow"/>
          <w:u w:val="none"/>
        </w:rPr>
      </w:pPr>
      <w:r>
        <w:rPr>
          <w:rFonts w:hint="eastAsia" w:ascii="宋体" w:hAnsi="宋体" w:eastAsia="宋体" w:cs="宋体"/>
          <w:color w:val="000000"/>
          <w:sz w:val="28"/>
          <w:szCs w:val="28"/>
          <w:highlight w:val="none"/>
          <w:u w:val="none"/>
        </w:rPr>
        <w:t>2.公务用车购置及运行费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与上年决算数对比无增减变化，</w:t>
      </w:r>
      <w:r>
        <w:rPr>
          <w:rFonts w:hint="eastAsia" w:ascii="宋体" w:hAnsi="宋体" w:eastAsia="宋体" w:cs="宋体"/>
          <w:sz w:val="28"/>
          <w:szCs w:val="28"/>
          <w:u w:val="none"/>
          <w:lang w:val="en-US" w:eastAsia="zh-CN"/>
        </w:rPr>
        <w:t>主要原因是本部门上年与本年均无此业务发生，</w:t>
      </w:r>
      <w:r>
        <w:rPr>
          <w:rFonts w:hint="eastAsia" w:ascii="宋体" w:hAnsi="宋体" w:eastAsia="宋体" w:cs="宋体"/>
          <w:color w:val="000000"/>
          <w:sz w:val="28"/>
          <w:szCs w:val="28"/>
          <w:highlight w:val="none"/>
          <w:u w:val="none"/>
          <w:lang w:eastAsia="zh-CN"/>
        </w:rPr>
        <w:t>与本年预算数对比无增减变化。</w:t>
      </w:r>
      <w:r>
        <w:rPr>
          <w:rFonts w:hint="eastAsia" w:ascii="宋体" w:hAnsi="宋体" w:eastAsia="宋体" w:cs="宋体"/>
          <w:sz w:val="28"/>
          <w:szCs w:val="28"/>
          <w:u w:val="none"/>
          <w:lang w:val="en-US" w:eastAsia="zh-CN"/>
        </w:rPr>
        <w:t>主要原因是本部门无此业务发生。</w:t>
      </w:r>
      <w:r>
        <w:rPr>
          <w:rFonts w:hint="eastAsia" w:ascii="宋体" w:hAnsi="宋体" w:eastAsia="宋体" w:cs="宋体"/>
          <w:color w:val="000000"/>
          <w:sz w:val="28"/>
          <w:szCs w:val="28"/>
          <w:highlight w:val="none"/>
          <w:u w:val="none"/>
        </w:rPr>
        <w:t>其中：</w:t>
      </w:r>
    </w:p>
    <w:p w14:paraId="3F42FAE6">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rPr>
      </w:pPr>
      <w:r>
        <w:rPr>
          <w:rFonts w:hint="eastAsia" w:ascii="宋体" w:hAnsi="宋体" w:eastAsia="宋体" w:cs="宋体"/>
          <w:color w:val="000000"/>
          <w:sz w:val="28"/>
          <w:szCs w:val="28"/>
          <w:highlight w:val="none"/>
          <w:u w:val="none"/>
        </w:rPr>
        <w:t>(1)公务用车购置费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万元，主要是</w:t>
      </w:r>
      <w:r>
        <w:rPr>
          <w:rFonts w:hint="eastAsia" w:ascii="宋体" w:hAnsi="宋体" w:eastAsia="宋体" w:cs="宋体"/>
          <w:color w:val="000000"/>
          <w:sz w:val="28"/>
          <w:szCs w:val="28"/>
          <w:highlight w:val="none"/>
          <w:u w:val="none"/>
          <w:lang w:eastAsia="zh-CN"/>
        </w:rPr>
        <w:t>公车改革后，单位无此业务发生</w:t>
      </w:r>
      <w:r>
        <w:rPr>
          <w:rFonts w:hint="eastAsia" w:ascii="宋体" w:hAnsi="宋体" w:eastAsia="宋体" w:cs="宋体"/>
          <w:color w:val="000000"/>
          <w:sz w:val="28"/>
          <w:szCs w:val="28"/>
          <w:highlight w:val="none"/>
          <w:u w:val="none"/>
        </w:rPr>
        <w:t>。本年度购置(更新)公务用车</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241E974B">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rPr>
        <w:t>(2)公务用车运行费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w:t>
      </w:r>
      <w:r>
        <w:rPr>
          <w:rFonts w:hint="eastAsia" w:ascii="宋体" w:hAnsi="宋体" w:eastAsia="宋体" w:cs="宋体"/>
          <w:color w:val="000000"/>
          <w:sz w:val="28"/>
          <w:szCs w:val="28"/>
          <w:highlight w:val="none"/>
          <w:u w:val="none"/>
          <w:lang w:eastAsia="zh-CN"/>
        </w:rPr>
        <w:t>是公车改革后，单位无此业务发生</w:t>
      </w:r>
      <w:r>
        <w:rPr>
          <w:rFonts w:hint="eastAsia" w:ascii="宋体" w:hAnsi="宋体" w:eastAsia="宋体" w:cs="宋体"/>
          <w:color w:val="000000"/>
          <w:kern w:val="0"/>
          <w:sz w:val="28"/>
          <w:szCs w:val="28"/>
          <w:highlight w:val="none"/>
          <w:u w:val="none"/>
        </w:rPr>
        <w:t>。</w:t>
      </w:r>
      <w:r>
        <w:rPr>
          <w:rFonts w:hint="eastAsia" w:ascii="宋体" w:hAnsi="宋体" w:eastAsia="宋体" w:cs="宋体"/>
          <w:color w:val="000000"/>
          <w:sz w:val="28"/>
          <w:szCs w:val="28"/>
          <w:highlight w:val="none"/>
          <w:u w:val="none"/>
          <w:lang w:eastAsia="zh-CN"/>
        </w:rPr>
        <w:t>截至</w:t>
      </w:r>
      <w:bookmarkStart w:id="0" w:name="_GoBack"/>
      <w:bookmarkEnd w:id="0"/>
      <w:r>
        <w:rPr>
          <w:rFonts w:hint="eastAsia" w:ascii="宋体" w:hAnsi="宋体" w:eastAsia="宋体" w:cs="宋体"/>
          <w:color w:val="000000"/>
          <w:sz w:val="28"/>
          <w:szCs w:val="28"/>
          <w:highlight w:val="none"/>
          <w:u w:val="none"/>
          <w:lang w:val="en-US" w:eastAsia="zh-CN"/>
        </w:rPr>
        <w:t>2022年12月31日，开支财政拨款的公务用车保有量</w:t>
      </w:r>
      <w:r>
        <w:rPr>
          <w:rFonts w:hint="eastAsia" w:ascii="宋体" w:hAnsi="宋体" w:eastAsia="宋体" w:cs="宋体"/>
          <w:color w:val="000000"/>
          <w:sz w:val="28"/>
          <w:szCs w:val="28"/>
          <w:highlight w:val="none"/>
          <w:u w:val="none"/>
          <w:lang w:eastAsia="zh-CN"/>
        </w:rPr>
        <w:t>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2B82313E">
      <w:pPr>
        <w:numPr>
          <w:ilvl w:val="0"/>
          <w:numId w:val="0"/>
        </w:numPr>
        <w:shd w:val="clear" w:color="auto" w:fill="auto"/>
        <w:bidi w:val="0"/>
        <w:ind w:firstLine="560" w:firstLineChars="200"/>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rPr>
        <w:t>3.公务接待费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17.5</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14.68</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完成</w:t>
      </w:r>
      <w:r>
        <w:rPr>
          <w:rFonts w:hint="eastAsia" w:ascii="宋体" w:hAnsi="宋体" w:eastAsia="宋体" w:cs="宋体"/>
          <w:color w:val="000000"/>
          <w:sz w:val="28"/>
          <w:szCs w:val="28"/>
          <w:highlight w:val="none"/>
          <w:u w:val="none"/>
        </w:rPr>
        <w:t>预算的</w:t>
      </w:r>
      <w:r>
        <w:rPr>
          <w:rFonts w:hint="eastAsia" w:ascii="宋体" w:hAnsi="宋体" w:eastAsia="宋体" w:cs="宋体"/>
          <w:color w:val="000000"/>
          <w:sz w:val="28"/>
          <w:szCs w:val="28"/>
          <w:highlight w:val="none"/>
          <w:u w:val="none"/>
          <w:lang w:val="en-US" w:eastAsia="zh-CN"/>
        </w:rPr>
        <w:t>83.9</w:t>
      </w:r>
      <w:r>
        <w:rPr>
          <w:rFonts w:hint="eastAsia" w:ascii="宋体" w:hAnsi="宋体" w:eastAsia="宋体" w:cs="宋体"/>
          <w:color w:val="000000"/>
          <w:sz w:val="28"/>
          <w:szCs w:val="28"/>
          <w:highlight w:val="none"/>
          <w:u w:val="none"/>
        </w:rPr>
        <w:t>%</w:t>
      </w:r>
      <w:r>
        <w:rPr>
          <w:rFonts w:hint="eastAsia" w:ascii="宋体" w:hAnsi="宋体" w:eastAsia="宋体" w:cs="宋体"/>
          <w:color w:val="000000"/>
          <w:sz w:val="28"/>
          <w:szCs w:val="28"/>
          <w:highlight w:val="none"/>
          <w:u w:val="none"/>
          <w:lang w:eastAsia="zh-CN"/>
        </w:rPr>
        <w:t>，</w:t>
      </w:r>
      <w:r>
        <w:rPr>
          <w:rFonts w:hint="eastAsia" w:ascii="宋体" w:hAnsi="宋体" w:eastAsia="宋体" w:cs="宋体"/>
          <w:sz w:val="28"/>
          <w:szCs w:val="28"/>
          <w:u w:val="none"/>
          <w:lang w:val="en-US" w:eastAsia="zh-CN"/>
        </w:rPr>
        <w:t>较上年增加3.67万元，增长33.3%。决算数小于预算数的主要原因：单位厉行节约、严格控制经费支出，决算数大于上年决算数的原因是2021年年疫情影响，客商接待少，本年正常开展活动。</w:t>
      </w:r>
      <w:r>
        <w:rPr>
          <w:rFonts w:hint="eastAsia" w:ascii="宋体" w:hAnsi="宋体" w:eastAsia="宋体" w:cs="宋体"/>
          <w:color w:val="000000"/>
          <w:sz w:val="28"/>
          <w:szCs w:val="28"/>
          <w:highlight w:val="none"/>
          <w:u w:val="none"/>
          <w:lang w:val="en-US" w:eastAsia="zh-CN"/>
        </w:rPr>
        <w:t>其中：</w:t>
      </w:r>
    </w:p>
    <w:p w14:paraId="5A5F4693">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lang w:val="en-US" w:eastAsia="zh-CN"/>
        </w:rPr>
        <w:t>外宾接待支出0万元。2022年共接待来访团组0个，0人次（不包括陪同人员）。</w:t>
      </w:r>
    </w:p>
    <w:p w14:paraId="6E2B6994">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b w:val="0"/>
          <w:bCs w:val="0"/>
          <w:color w:val="FF0000"/>
          <w:lang w:val="en-US" w:eastAsia="zh-CN"/>
        </w:rPr>
      </w:pPr>
      <w:r>
        <w:rPr>
          <w:rFonts w:hint="eastAsia" w:ascii="宋体" w:hAnsi="宋体" w:eastAsia="宋体" w:cs="宋体"/>
          <w:color w:val="000000"/>
          <w:sz w:val="28"/>
          <w:szCs w:val="28"/>
          <w:highlight w:val="none"/>
          <w:u w:val="none"/>
          <w:lang w:val="en-US" w:eastAsia="zh-CN"/>
        </w:rPr>
        <w:t>国内公务接待支出14.68万元，接待对象主要是外地来下陆招商客商，主要是开展招商引资工作。2022年共接待国内来访团组107个，906人次（不包括陪同人员）。</w:t>
      </w:r>
    </w:p>
    <w:p w14:paraId="0B44B38C">
      <w:pPr>
        <w:shd w:val="clear" w:color="auto" w:fill="auto"/>
        <w:ind w:firstLine="640"/>
        <w:jc w:val="both"/>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十、机关运行经费支出说明</w:t>
      </w:r>
    </w:p>
    <w:p w14:paraId="58DAF137">
      <w:pPr>
        <w:pStyle w:val="15"/>
        <w:shd w:val="clear" w:color="auto" w:fill="auto"/>
        <w:rPr>
          <w:rFonts w:hint="eastAsia" w:ascii="宋体" w:hAnsi="宋体" w:eastAsia="宋体" w:cs="宋体"/>
          <w:color w:val="FF0000"/>
          <w:sz w:val="28"/>
          <w:szCs w:val="28"/>
          <w:lang w:val="en-US" w:eastAsia="zh-CN"/>
        </w:rPr>
      </w:pPr>
      <w:r>
        <w:rPr>
          <w:rFonts w:hint="eastAsia" w:ascii="宋体" w:hAnsi="宋体" w:eastAsia="宋体" w:cs="宋体"/>
          <w:sz w:val="28"/>
          <w:szCs w:val="28"/>
        </w:rPr>
        <w:t>本</w:t>
      </w:r>
      <w:r>
        <w:rPr>
          <w:rFonts w:hint="eastAsia" w:ascii="宋体" w:hAnsi="宋体" w:eastAsia="宋体" w:cs="宋体"/>
          <w:sz w:val="28"/>
          <w:szCs w:val="28"/>
          <w:lang w:val="en-US" w:eastAsia="zh-CN"/>
        </w:rPr>
        <w:t>单位</w:t>
      </w:r>
      <w:r>
        <w:rPr>
          <w:rFonts w:hint="eastAsia" w:ascii="宋体" w:hAnsi="宋体" w:eastAsia="宋体" w:cs="宋体"/>
          <w:sz w:val="28"/>
          <w:szCs w:val="28"/>
          <w:lang w:eastAsia="zh-CN"/>
        </w:rPr>
        <w:t>为</w:t>
      </w:r>
      <w:r>
        <w:rPr>
          <w:rFonts w:hint="eastAsia" w:ascii="宋体" w:hAnsi="宋体" w:eastAsia="宋体" w:cs="宋体"/>
          <w:sz w:val="28"/>
          <w:szCs w:val="28"/>
        </w:rPr>
        <w:t>公益一类事业单位</w:t>
      </w:r>
      <w:r>
        <w:rPr>
          <w:rFonts w:hint="eastAsia" w:ascii="宋体" w:hAnsi="宋体" w:eastAsia="宋体" w:cs="宋体"/>
          <w:sz w:val="28"/>
          <w:szCs w:val="28"/>
          <w:lang w:eastAsia="zh-CN"/>
        </w:rPr>
        <w:t>，无机关运行经费</w:t>
      </w:r>
    </w:p>
    <w:p w14:paraId="2EB05102">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十一、政府采购支出说明</w:t>
      </w:r>
    </w:p>
    <w:p w14:paraId="06843D10">
      <w:pPr>
        <w:numPr>
          <w:ilvl w:val="0"/>
          <w:numId w:val="0"/>
        </w:num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本部门 202</w:t>
      </w:r>
      <w:r>
        <w:rPr>
          <w:rFonts w:hint="eastAsia" w:ascii="宋体" w:hAnsi="宋体" w:eastAsia="宋体" w:cs="宋体"/>
          <w:sz w:val="28"/>
          <w:szCs w:val="28"/>
          <w:lang w:val="en-US" w:eastAsia="zh-CN"/>
        </w:rPr>
        <w:t>2</w:t>
      </w:r>
      <w:r>
        <w:rPr>
          <w:rFonts w:hint="eastAsia" w:ascii="宋体" w:hAnsi="宋体" w:eastAsia="宋体" w:cs="宋体"/>
          <w:sz w:val="28"/>
          <w:szCs w:val="28"/>
        </w:rPr>
        <w:t xml:space="preserve">年度政府采购支出总额 </w:t>
      </w:r>
      <w:r>
        <w:rPr>
          <w:rFonts w:hint="eastAsia" w:ascii="宋体" w:hAnsi="宋体" w:eastAsia="宋体" w:cs="宋体"/>
          <w:sz w:val="28"/>
          <w:szCs w:val="28"/>
          <w:lang w:val="en-US" w:eastAsia="zh-CN"/>
        </w:rPr>
        <w:t>0.19</w:t>
      </w:r>
      <w:r>
        <w:rPr>
          <w:rFonts w:hint="eastAsia" w:ascii="宋体" w:hAnsi="宋体" w:eastAsia="宋体" w:cs="宋体"/>
          <w:sz w:val="28"/>
          <w:szCs w:val="28"/>
        </w:rPr>
        <w:t>万元，其中：政府采购货物支出</w:t>
      </w:r>
      <w:r>
        <w:rPr>
          <w:rFonts w:hint="eastAsia" w:ascii="宋体" w:hAnsi="宋体" w:eastAsia="宋体" w:cs="宋体"/>
          <w:sz w:val="28"/>
          <w:szCs w:val="28"/>
          <w:lang w:val="en-US" w:eastAsia="zh-CN"/>
        </w:rPr>
        <w:t>0.19</w:t>
      </w:r>
      <w:r>
        <w:rPr>
          <w:rFonts w:hint="eastAsia" w:ascii="宋体" w:hAnsi="宋体" w:eastAsia="宋体" w:cs="宋体"/>
          <w:sz w:val="28"/>
          <w:szCs w:val="28"/>
        </w:rPr>
        <w:t xml:space="preserve">万元、政府采购工程支出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万元、政府采购服务支出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万元。授予中小企业合同金额</w:t>
      </w:r>
      <w:r>
        <w:rPr>
          <w:rFonts w:hint="eastAsia" w:ascii="宋体" w:hAnsi="宋体" w:eastAsia="宋体" w:cs="宋体"/>
          <w:sz w:val="28"/>
          <w:szCs w:val="28"/>
          <w:lang w:val="en-US" w:eastAsia="zh-CN"/>
        </w:rPr>
        <w:t>0.19</w:t>
      </w:r>
      <w:r>
        <w:rPr>
          <w:rFonts w:hint="eastAsia" w:ascii="宋体" w:hAnsi="宋体" w:eastAsia="宋体" w:cs="宋体"/>
          <w:sz w:val="28"/>
          <w:szCs w:val="28"/>
        </w:rPr>
        <w:t>万元，占政府采购支出总额的</w:t>
      </w:r>
      <w:r>
        <w:rPr>
          <w:rFonts w:hint="eastAsia" w:ascii="宋体" w:hAnsi="宋体" w:eastAsia="宋体" w:cs="宋体"/>
          <w:sz w:val="28"/>
          <w:szCs w:val="28"/>
          <w:lang w:val="en-US" w:eastAsia="zh-CN"/>
        </w:rPr>
        <w:t>100</w:t>
      </w:r>
      <w:r>
        <w:rPr>
          <w:rFonts w:hint="eastAsia" w:ascii="宋体" w:hAnsi="宋体" w:eastAsia="宋体" w:cs="宋体"/>
          <w:sz w:val="28"/>
          <w:szCs w:val="28"/>
        </w:rPr>
        <w:t>%，其中：授予小微企业合同金额</w:t>
      </w:r>
      <w:r>
        <w:rPr>
          <w:rFonts w:hint="eastAsia" w:ascii="宋体" w:hAnsi="宋体" w:eastAsia="宋体" w:cs="宋体"/>
          <w:sz w:val="28"/>
          <w:szCs w:val="28"/>
          <w:lang w:val="en-US" w:eastAsia="zh-CN"/>
        </w:rPr>
        <w:t>0.19</w:t>
      </w:r>
      <w:r>
        <w:rPr>
          <w:rFonts w:hint="eastAsia" w:ascii="宋体" w:hAnsi="宋体" w:eastAsia="宋体" w:cs="宋体"/>
          <w:sz w:val="28"/>
          <w:szCs w:val="28"/>
        </w:rPr>
        <w:t>万元，占授予中小企业合同金额的</w:t>
      </w:r>
      <w:r>
        <w:rPr>
          <w:rFonts w:hint="eastAsia" w:ascii="宋体" w:hAnsi="宋体" w:eastAsia="宋体" w:cs="宋体"/>
          <w:sz w:val="28"/>
          <w:szCs w:val="28"/>
          <w:lang w:val="en-US" w:eastAsia="zh-CN"/>
        </w:rPr>
        <w:t>100</w:t>
      </w:r>
      <w:r>
        <w:rPr>
          <w:rFonts w:hint="eastAsia" w:ascii="宋体" w:hAnsi="宋体" w:eastAsia="宋体" w:cs="宋体"/>
          <w:sz w:val="28"/>
          <w:szCs w:val="28"/>
        </w:rPr>
        <w:t>%；货物采购授予中小企业合同金额占货物支出金额的</w:t>
      </w:r>
      <w:r>
        <w:rPr>
          <w:rFonts w:hint="eastAsia" w:ascii="宋体" w:hAnsi="宋体" w:eastAsia="宋体" w:cs="宋体"/>
          <w:sz w:val="28"/>
          <w:szCs w:val="28"/>
          <w:lang w:val="en-US" w:eastAsia="zh-CN"/>
        </w:rPr>
        <w:t>100</w:t>
      </w:r>
      <w:r>
        <w:rPr>
          <w:rFonts w:hint="eastAsia" w:ascii="宋体" w:hAnsi="宋体" w:eastAsia="宋体" w:cs="宋体"/>
          <w:sz w:val="28"/>
          <w:szCs w:val="28"/>
        </w:rPr>
        <w:t>%，工程采购授予中小企业合同金额占工程支出金额的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%，服务采购授予中小企业合同金额占服务支出金额的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w:t>
      </w:r>
    </w:p>
    <w:p w14:paraId="28EE4348">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十二、国有资产占用情况说明</w:t>
      </w:r>
    </w:p>
    <w:p w14:paraId="5995E8C0">
      <w:p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截至</w:t>
      </w:r>
      <w:r>
        <w:rPr>
          <w:rFonts w:hint="eastAsia" w:ascii="宋体" w:hAnsi="宋体" w:eastAsia="宋体" w:cs="宋体"/>
          <w:sz w:val="28"/>
          <w:szCs w:val="28"/>
          <w:lang w:val="en-US" w:eastAsia="zh-CN"/>
        </w:rPr>
        <w:t>2022</w:t>
      </w:r>
      <w:r>
        <w:rPr>
          <w:rFonts w:hint="eastAsia" w:ascii="宋体" w:hAnsi="宋体" w:eastAsia="宋体" w:cs="宋体"/>
          <w:sz w:val="28"/>
          <w:szCs w:val="28"/>
        </w:rPr>
        <w:t xml:space="preserve">年 12月31日，部门共有车辆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辆，其中，副省级及以上领导干部用车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辆、主要领导干部用车</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辆、机要通信用车</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辆、应急保障用车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辆、执法执勤用车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辆、特种专业技术用车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辆、其他用车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辆；单位价值 100万元以上设备（不含车辆）</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台（套）。</w:t>
      </w:r>
    </w:p>
    <w:p w14:paraId="161205A7">
      <w:pPr>
        <w:rPr>
          <w:rFonts w:hint="eastAsia" w:ascii="宋体" w:hAnsi="宋体" w:eastAsia="宋体" w:cs="宋体"/>
          <w:kern w:val="0"/>
          <w:sz w:val="28"/>
          <w:szCs w:val="28"/>
          <w:lang w:val="en-US" w:eastAsia="zh-CN"/>
        </w:rPr>
      </w:pPr>
      <w:r>
        <w:rPr>
          <w:rStyle w:val="9"/>
          <w:rFonts w:ascii="宋体" w:hAnsi="宋体" w:eastAsia="宋体" w:cs="宋体"/>
          <w:kern w:val="0"/>
          <w:sz w:val="28"/>
          <w:szCs w:val="28"/>
        </w:rPr>
        <w:t>十</w:t>
      </w:r>
      <w:r>
        <w:rPr>
          <w:rStyle w:val="9"/>
          <w:rFonts w:hint="eastAsia" w:ascii="宋体" w:hAnsi="宋体" w:eastAsia="宋体" w:cs="宋体"/>
          <w:kern w:val="0"/>
          <w:sz w:val="28"/>
          <w:szCs w:val="28"/>
          <w:lang w:eastAsia="zh-CN"/>
        </w:rPr>
        <w:t>三</w:t>
      </w:r>
      <w:r>
        <w:rPr>
          <w:rStyle w:val="9"/>
          <w:rFonts w:ascii="宋体" w:hAnsi="宋体" w:eastAsia="宋体" w:cs="宋体"/>
          <w:kern w:val="0"/>
          <w:sz w:val="28"/>
          <w:szCs w:val="28"/>
        </w:rPr>
        <w:t>、预算绩效工作开展情况</w:t>
      </w:r>
      <w:r>
        <w:rPr>
          <w:rFonts w:ascii="宋体" w:hAnsi="宋体" w:eastAsia="宋体" w:cs="宋体"/>
          <w:kern w:val="0"/>
          <w:szCs w:val="21"/>
        </w:rPr>
        <w:br w:type="textWrapping"/>
      </w:r>
      <w:r>
        <w:rPr>
          <w:rFonts w:hint="eastAsia" w:ascii="宋体" w:hAnsi="宋体" w:eastAsia="宋体" w:cs="宋体"/>
          <w:kern w:val="0"/>
          <w:sz w:val="28"/>
          <w:szCs w:val="28"/>
          <w:lang w:val="en-US" w:eastAsia="zh-CN"/>
        </w:rPr>
        <w:t>（一）预算绩效管理工作开展情况</w:t>
      </w:r>
      <w:r>
        <w:rPr>
          <w:rFonts w:hint="eastAsia" w:ascii="宋体" w:hAnsi="宋体" w:eastAsia="宋体" w:cs="宋体"/>
          <w:kern w:val="0"/>
          <w:sz w:val="28"/>
          <w:szCs w:val="28"/>
          <w:lang w:val="en-US" w:eastAsia="zh-CN"/>
        </w:rPr>
        <w:br w:type="textWrapping"/>
      </w:r>
      <w:r>
        <w:rPr>
          <w:rFonts w:hint="eastAsia" w:ascii="宋体" w:hAnsi="宋体" w:eastAsia="宋体" w:cs="宋体"/>
          <w:kern w:val="0"/>
          <w:sz w:val="28"/>
          <w:szCs w:val="28"/>
          <w:lang w:val="en-US" w:eastAsia="zh-CN"/>
        </w:rPr>
        <w:t>    根据预算绩效管理要求，我单位组织对2022年度一般公共预算项目支出全面开展绩效自评，共涉及项目1个，资金180万元，占一般公共预算项目支出总额的100％。从评价情况来看，下陆区招商服务中心整体支出项目已经结束，年度绩效目标已经全部完成。通过实施这个项目，办公室及时掌握时事政治信息及提升人文化素养，对下陆区招商信息筛查工作，结合我区具体实际，举办光谷跨境电商产业专题推介会并承办黄石（杭州）投资推介会吸引外商来我区投资。</w:t>
      </w:r>
      <w:r>
        <w:rPr>
          <w:rFonts w:hint="eastAsia" w:ascii="宋体" w:hAnsi="宋体" w:eastAsia="宋体" w:cs="宋体"/>
          <w:kern w:val="0"/>
          <w:sz w:val="28"/>
          <w:szCs w:val="28"/>
          <w:lang w:val="en-US" w:eastAsia="zh-CN"/>
        </w:rPr>
        <w:br w:type="textWrapping"/>
      </w:r>
      <w:r>
        <w:rPr>
          <w:rFonts w:hint="eastAsia" w:ascii="宋体" w:hAnsi="宋体" w:eastAsia="宋体" w:cs="宋体"/>
          <w:kern w:val="0"/>
          <w:sz w:val="28"/>
          <w:szCs w:val="28"/>
          <w:lang w:val="en-US" w:eastAsia="zh-CN"/>
        </w:rPr>
        <w:t>组织开展部门整体支出绩效评价，从评价情况来看，区招商中心抓住重点，细化方案，建档立库。针对项目设置项目实施方案，明确项目内容、申报条件和审批流程等。建立专门档案，完整反映计划执行的全过程，严格管理，加强监督检查。2022年，我单位对项目制定细化、明确的预算绩效目标和可考核、可量化的绩效指标，并加强对绩效目标的审核，将其作为预算编制和资金安排的前置条件和重要依据。加强对支出政策效果和资金使用绩效的监控，将预算绩效评价结果作为预算安排、政策调整的重要依据。</w:t>
      </w:r>
    </w:p>
    <w:tbl>
      <w:tblPr>
        <w:tblStyle w:val="6"/>
        <w:tblW w:w="9375" w:type="dxa"/>
        <w:tblInd w:w="0" w:type="dxa"/>
        <w:shd w:val="clear" w:color="auto" w:fill="auto"/>
        <w:tblLayout w:type="autofit"/>
        <w:tblCellMar>
          <w:top w:w="0" w:type="dxa"/>
          <w:left w:w="0" w:type="dxa"/>
          <w:bottom w:w="0" w:type="dxa"/>
          <w:right w:w="0" w:type="dxa"/>
        </w:tblCellMar>
      </w:tblPr>
      <w:tblGrid>
        <w:gridCol w:w="647"/>
        <w:gridCol w:w="624"/>
        <w:gridCol w:w="768"/>
        <w:gridCol w:w="405"/>
        <w:gridCol w:w="2916"/>
        <w:gridCol w:w="2159"/>
        <w:gridCol w:w="633"/>
        <w:gridCol w:w="638"/>
        <w:gridCol w:w="585"/>
      </w:tblGrid>
      <w:tr w14:paraId="469265F7">
        <w:tblPrEx>
          <w:shd w:val="clear" w:color="auto" w:fill="auto"/>
          <w:tblCellMar>
            <w:top w:w="0" w:type="dxa"/>
            <w:left w:w="0" w:type="dxa"/>
            <w:bottom w:w="0" w:type="dxa"/>
            <w:right w:w="0" w:type="dxa"/>
          </w:tblCellMar>
        </w:tblPrEx>
        <w:trPr>
          <w:trHeight w:val="560" w:hRule="atLeast"/>
        </w:trPr>
        <w:tc>
          <w:tcPr>
            <w:tcW w:w="9378" w:type="dxa"/>
            <w:gridSpan w:val="9"/>
            <w:tcBorders>
              <w:top w:val="nil"/>
              <w:left w:val="nil"/>
              <w:bottom w:val="nil"/>
              <w:right w:val="nil"/>
            </w:tcBorders>
            <w:shd w:val="clear" w:color="auto" w:fill="FFFFFF"/>
            <w:tcMar>
              <w:top w:w="15" w:type="dxa"/>
              <w:left w:w="15" w:type="dxa"/>
              <w:right w:w="15" w:type="dxa"/>
            </w:tcMar>
            <w:vAlign w:val="center"/>
          </w:tcPr>
          <w:p w14:paraId="6F03E7A4">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3CCD26E1">
        <w:tblPrEx>
          <w:shd w:val="clear" w:color="auto" w:fill="auto"/>
          <w:tblCellMar>
            <w:top w:w="0" w:type="dxa"/>
            <w:left w:w="0" w:type="dxa"/>
            <w:bottom w:w="0" w:type="dxa"/>
            <w:right w:w="0" w:type="dxa"/>
          </w:tblCellMar>
        </w:tblPrEx>
        <w:trPr>
          <w:trHeight w:val="78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5B88E0">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40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A9965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黄石市下陆区招商服务中心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B197D9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1856"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56ABD">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2023.3</w:t>
            </w:r>
          </w:p>
        </w:tc>
      </w:tr>
      <w:tr w14:paraId="45D0F942">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EAF27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625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E5D0D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黄石市下陆区招商服务中心</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B274A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19E71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216F0B0A">
        <w:tblPrEx>
          <w:shd w:val="clear" w:color="auto" w:fill="auto"/>
          <w:tblCellMar>
            <w:top w:w="0" w:type="dxa"/>
            <w:left w:w="0" w:type="dxa"/>
            <w:bottom w:w="0" w:type="dxa"/>
            <w:right w:w="0" w:type="dxa"/>
          </w:tblCellMar>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36DBA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9FEB2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138.53</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9E508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1856"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DA9FD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1293.59</w:t>
            </w:r>
          </w:p>
        </w:tc>
      </w:tr>
      <w:tr w14:paraId="2803FFCB">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325F4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AA77C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EF694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1856"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4544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402C9B7B">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9413B2">
            <w:pPr>
              <w:jc w:val="center"/>
              <w:rPr>
                <w:rFonts w:hint="eastAsia" w:ascii="仿宋_GB2312" w:hAnsi="宋体" w:eastAsia="仿宋_GB2312" w:cs="仿宋_GB2312"/>
                <w:i w:val="0"/>
                <w:color w:val="000000"/>
                <w:sz w:val="20"/>
                <w:szCs w:val="20"/>
                <w:u w:val="none"/>
              </w:rPr>
            </w:pP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B239A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1432.12</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79A60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340.22</w:t>
            </w:r>
          </w:p>
        </w:tc>
        <w:tc>
          <w:tcPr>
            <w:tcW w:w="1856"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C4F12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421%</w:t>
            </w:r>
          </w:p>
        </w:tc>
      </w:tr>
      <w:tr w14:paraId="4DF66180">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02E7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BE16F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ABB81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06D03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FFD40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5B9C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0AC0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7183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0F34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69136725">
        <w:tblPrEx>
          <w:shd w:val="clear" w:color="auto" w:fill="auto"/>
          <w:tblCellMar>
            <w:top w:w="0" w:type="dxa"/>
            <w:left w:w="0" w:type="dxa"/>
            <w:bottom w:w="0" w:type="dxa"/>
            <w:right w:w="0" w:type="dxa"/>
          </w:tblCellMar>
        </w:tblPrEx>
        <w:trPr>
          <w:trHeight w:val="324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079BF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631D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858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6869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E898B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预算完成数：部门（单位）本年度实际完成的预算数。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预算数：财政部门批复的本年度部门（单位）预算数。</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6DB9A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预算完成率＝100%的，得10分。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预算完成率≥95%的，得9分。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预算完成率在90%（含）和95%之间，得8分。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预算完成率在85%（含）和90%之间，得7分。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预算完成率在80%（含）和85%之间，得6分。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预算完成率在70%（含）和80%之间，得4分。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预算完成率＜70%的，得0分。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636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2EB5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421%</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EF0E8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DF81F7F">
        <w:tblPrEx>
          <w:shd w:val="clear" w:color="auto" w:fill="auto"/>
          <w:tblCellMar>
            <w:top w:w="0" w:type="dxa"/>
            <w:left w:w="0" w:type="dxa"/>
            <w:bottom w:w="0" w:type="dxa"/>
            <w:right w:w="0" w:type="dxa"/>
          </w:tblCellMar>
        </w:tblPrEx>
        <w:trPr>
          <w:trHeight w:val="26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822F807">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4A4647">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16C0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B750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0B7A0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预算包括一般公共预算与政府性基金预算。</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E8E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预算调整率绝对值≤5%，得10分。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预算调整率绝对值＞5%的，每增加0.1个百分点扣0.1分，扣完为止。</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E860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5A48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321%</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73AB7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649BEBE6">
        <w:tblPrEx>
          <w:shd w:val="clear" w:color="auto" w:fill="auto"/>
          <w:tblCellMar>
            <w:top w:w="0" w:type="dxa"/>
            <w:left w:w="0" w:type="dxa"/>
            <w:bottom w:w="0" w:type="dxa"/>
            <w:right w:w="0" w:type="dxa"/>
          </w:tblCellMar>
        </w:tblPrEx>
        <w:trPr>
          <w:trHeight w:val="27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4332B424">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A4F4FC">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23F14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A9251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C513B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E621B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前三季度进度：进度率≥75%，得6分；进度率在60%（含）和75%之间，得4分；进度率＜60%，得0分。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1DCE6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半年进度率≥45%，            前三季度进度率≥75%      </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9205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半年进度率≥51%，            前三季度进度率≥88% </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12BA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50B999B4">
        <w:tblPrEx>
          <w:shd w:val="clear" w:color="auto" w:fill="auto"/>
          <w:tblCellMar>
            <w:top w:w="0" w:type="dxa"/>
            <w:left w:w="0" w:type="dxa"/>
            <w:bottom w:w="0" w:type="dxa"/>
            <w:right w:w="0" w:type="dxa"/>
          </w:tblCellMar>
        </w:tblPrEx>
        <w:trPr>
          <w:trHeight w:val="14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5AA270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A2F8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DBAF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F55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59595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预算编制准确率＝其他收入决算数/其他收入预算数×100%-100%。</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66DCD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预算编制准确率≤20%，得5分。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预算编制准确率在20%和40%（含）之间，得3分。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预算编制准确率＞40%，得0分。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946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C7A1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75BB9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62FE4A61">
        <w:tblPrEx>
          <w:shd w:val="clear" w:color="auto" w:fill="auto"/>
          <w:tblCellMar>
            <w:top w:w="0" w:type="dxa"/>
            <w:left w:w="0" w:type="dxa"/>
            <w:bottom w:w="0" w:type="dxa"/>
            <w:right w:w="0" w:type="dxa"/>
          </w:tblCellMar>
        </w:tblPrEx>
        <w:trPr>
          <w:trHeight w:val="1125"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9EE7F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9C42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82FC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FDB1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96A5A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335B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 ≤100%，得5分，每增加0.1个百分点扣0.5分，扣完为止。</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2925D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2827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7531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409495BD">
        <w:tblPrEx>
          <w:shd w:val="clear" w:color="auto" w:fill="auto"/>
          <w:tblCellMar>
            <w:top w:w="0" w:type="dxa"/>
            <w:left w:w="0" w:type="dxa"/>
            <w:bottom w:w="0" w:type="dxa"/>
            <w:right w:w="0" w:type="dxa"/>
          </w:tblCellMar>
        </w:tblPrEx>
        <w:trPr>
          <w:trHeight w:val="1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E61980F">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B8A2A">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473C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BCCD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3C856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1.新增资产配置按预算执行。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2.资产有偿使用、处置按规定程序审批。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3.资产收益及时、足额上缴财政。</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19CD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全部符合5分，有1项不符扣2分,扣完为止。</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122A9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资产管理规范性</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B3EC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资产管理规范</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96A6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E21D8FB">
        <w:tblPrEx>
          <w:shd w:val="clear" w:color="auto" w:fill="auto"/>
          <w:tblCellMar>
            <w:top w:w="0" w:type="dxa"/>
            <w:left w:w="0" w:type="dxa"/>
            <w:bottom w:w="0" w:type="dxa"/>
            <w:right w:w="0" w:type="dxa"/>
          </w:tblCellMar>
        </w:tblPrEx>
        <w:trPr>
          <w:trHeight w:val="31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DF27D00">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01763E">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F1A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EBD4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69E89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2.资金的拨付有完整的审批程序和手续；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3.重大项目开支经过评估论证；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4.符合部门预算批复的用途；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5.不存在截留、挤占、挪用、虚列支出等情况。</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8291D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全部符合10分,有1项不符扣2分，扣完为止。</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AEF6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资金使用合规性</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A8C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EC726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3F8527E4">
        <w:tblPrEx>
          <w:shd w:val="clear" w:color="auto" w:fill="auto"/>
          <w:tblCellMar>
            <w:top w:w="0" w:type="dxa"/>
            <w:left w:w="0" w:type="dxa"/>
            <w:bottom w:w="0" w:type="dxa"/>
            <w:right w:w="0" w:type="dxa"/>
          </w:tblCellMar>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BB94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A84AF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5364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4C7E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D9BD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现行行政运行经费支出预算编制方法的行政运行成本。</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7304C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可使行政运行成本最经济为5分，可使行政运行成本较合理为3分，一般为2分，不合理为0分。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4AC92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行政运行成本最经济</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9B02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行政运行成本最经济</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7C5C9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C8154FE">
        <w:tblPrEx>
          <w:shd w:val="clear" w:color="auto" w:fill="auto"/>
          <w:tblCellMar>
            <w:top w:w="0" w:type="dxa"/>
            <w:left w:w="0" w:type="dxa"/>
            <w:bottom w:w="0" w:type="dxa"/>
            <w:right w:w="0" w:type="dxa"/>
          </w:tblCellMar>
        </w:tblPrEx>
        <w:trPr>
          <w:trHeight w:val="10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19914D">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C3727">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4C95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55AA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9CB8A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行政运行经费支出能否保障部门正常运行。</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5A6A4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正常运行的得5分，基本正常得3分，不能正常运行的不得分。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D3866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正常运行</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3C6D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正常运行</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6A14F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1A5EA264">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1657B8">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610151">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36D8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FBB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579BC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项目资金运行产生的经济效益</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E221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经济效益显著得10分；一般得5分，下降不得分。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1736F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经济效益显著</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F354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经济效益较显著</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F4726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r>
      <w:tr w14:paraId="4FAA603F">
        <w:tblPrEx>
          <w:shd w:val="clear" w:color="auto" w:fill="auto"/>
          <w:tblCellMar>
            <w:top w:w="0" w:type="dxa"/>
            <w:left w:w="0" w:type="dxa"/>
            <w:bottom w:w="0" w:type="dxa"/>
            <w:right w:w="0" w:type="dxa"/>
          </w:tblCellMar>
        </w:tblPrEx>
        <w:trPr>
          <w:trHeight w:val="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071AB9">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9DF990">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54D8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BBF5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03C75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项目资金运行产生的社会效益</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ECC87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社会效益显著得10分；一般得5分；否则不得分。</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FB7A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社会效益显著</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8E74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社会效益较显著</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E0459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r>
      <w:tr w14:paraId="634C60C0">
        <w:tblPrEx>
          <w:shd w:val="clear" w:color="auto" w:fill="auto"/>
          <w:tblCellMar>
            <w:top w:w="0" w:type="dxa"/>
            <w:left w:w="0" w:type="dxa"/>
            <w:bottom w:w="0" w:type="dxa"/>
            <w:right w:w="0" w:type="dxa"/>
          </w:tblCellMar>
        </w:tblPrEx>
        <w:trPr>
          <w:trHeight w:val="190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4C61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3ADCB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C782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DA28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9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48822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1.项目完成后有经费安排能满足项目持续运行需要；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2.项目完成后有制度保障项目持续运行需要；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3.项目完成后有明确的项目管理机构、负责人对项目后继管理负责，满足持续运行需要。</w:t>
            </w:r>
          </w:p>
        </w:tc>
        <w:tc>
          <w:tcPr>
            <w:tcW w:w="21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E2D11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全部符合15分,有1项不符扣5分，扣完为止。</w:t>
            </w:r>
          </w:p>
        </w:tc>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56374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专项运行可持续影响</w:t>
            </w:r>
          </w:p>
        </w:tc>
        <w:tc>
          <w:tcPr>
            <w:tcW w:w="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9BB7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专项运行可持续影响较好</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35EA4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r>
      <w:tr w14:paraId="6081B97B">
        <w:tblPrEx>
          <w:shd w:val="clear" w:color="auto" w:fill="auto"/>
          <w:tblCellMar>
            <w:top w:w="0" w:type="dxa"/>
            <w:left w:w="0" w:type="dxa"/>
            <w:bottom w:w="0" w:type="dxa"/>
            <w:right w:w="0" w:type="dxa"/>
          </w:tblCellMar>
        </w:tblPrEx>
        <w:trPr>
          <w:trHeight w:val="500" w:hRule="atLeast"/>
        </w:trPr>
        <w:tc>
          <w:tcPr>
            <w:tcW w:w="7522"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38E692">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89C8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5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10017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w:t>
            </w:r>
          </w:p>
        </w:tc>
      </w:tr>
    </w:tbl>
    <w:p w14:paraId="75AB3ECC">
      <w:pP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br w:type="textWrapping"/>
      </w:r>
      <w:r>
        <w:rPr>
          <w:rFonts w:hint="eastAsia" w:ascii="宋体" w:hAnsi="宋体" w:eastAsia="宋体" w:cs="宋体"/>
          <w:kern w:val="0"/>
          <w:sz w:val="28"/>
          <w:szCs w:val="28"/>
          <w:lang w:val="en-US" w:eastAsia="zh-CN"/>
        </w:rPr>
        <w:t>（二）部门决算中项目绩效自评结果</w:t>
      </w:r>
      <w:r>
        <w:rPr>
          <w:rFonts w:hint="eastAsia" w:ascii="宋体" w:hAnsi="宋体" w:eastAsia="宋体" w:cs="宋体"/>
          <w:kern w:val="0"/>
          <w:sz w:val="28"/>
          <w:szCs w:val="28"/>
          <w:lang w:val="en-US" w:eastAsia="zh-CN"/>
        </w:rPr>
        <w:br w:type="textWrapping"/>
      </w:r>
      <w:r>
        <w:rPr>
          <w:rFonts w:hint="eastAsia" w:ascii="宋体" w:hAnsi="宋体" w:eastAsia="宋体" w:cs="宋体"/>
          <w:b/>
          <w:bCs/>
          <w:kern w:val="0"/>
          <w:sz w:val="28"/>
          <w:szCs w:val="28"/>
          <w:lang w:val="en-US" w:eastAsia="zh-CN"/>
        </w:rPr>
        <w:t>招商引资专项经费自评</w:t>
      </w:r>
      <w:r>
        <w:rPr>
          <w:rFonts w:hint="eastAsia" w:ascii="宋体" w:hAnsi="宋体" w:eastAsia="宋体" w:cs="宋体"/>
          <w:b/>
          <w:bCs/>
          <w:kern w:val="0"/>
          <w:sz w:val="28"/>
          <w:szCs w:val="28"/>
          <w:lang w:val="en-US" w:eastAsia="zh-CN"/>
        </w:rPr>
        <w:br w:type="textWrapping"/>
      </w:r>
      <w:r>
        <w:rPr>
          <w:rFonts w:hint="eastAsia" w:ascii="宋体" w:hAnsi="宋体" w:eastAsia="宋体" w:cs="宋体"/>
          <w:kern w:val="0"/>
          <w:sz w:val="28"/>
          <w:szCs w:val="28"/>
          <w:lang w:val="en-US" w:eastAsia="zh-CN"/>
        </w:rPr>
        <w:t>项目全年预算数为180万元，执行数为132.15万元，完成预算73.4％。</w:t>
      </w:r>
      <w:r>
        <w:rPr>
          <w:rFonts w:hint="eastAsia" w:ascii="宋体" w:hAnsi="宋体" w:eastAsia="宋体" w:cs="宋体"/>
          <w:kern w:val="0"/>
          <w:sz w:val="28"/>
          <w:szCs w:val="28"/>
          <w:lang w:val="en-US" w:eastAsia="zh-CN"/>
        </w:rPr>
        <w:br w:type="textWrapping"/>
      </w:r>
      <w:r>
        <w:rPr>
          <w:rFonts w:hint="eastAsia" w:ascii="宋体" w:hAnsi="宋体" w:eastAsia="宋体" w:cs="宋体"/>
          <w:kern w:val="0"/>
          <w:sz w:val="28"/>
          <w:szCs w:val="28"/>
          <w:lang w:val="en-US" w:eastAsia="zh-CN"/>
        </w:rPr>
        <w:t>主要产出和效益：新签约项目21个、新注册项目16个、新开工项目10个、新投产项目8个；</w:t>
      </w:r>
      <w:r>
        <w:rPr>
          <w:rFonts w:hint="eastAsia" w:ascii="宋体" w:hAnsi="宋体" w:eastAsia="宋体" w:cs="宋体"/>
          <w:kern w:val="0"/>
          <w:sz w:val="28"/>
          <w:szCs w:val="28"/>
          <w:lang w:val="en-US" w:eastAsia="zh-CN"/>
        </w:rPr>
        <w:br w:type="textWrapping"/>
      </w:r>
      <w:r>
        <w:rPr>
          <w:rFonts w:hint="eastAsia" w:ascii="宋体" w:hAnsi="宋体" w:eastAsia="宋体" w:cs="宋体"/>
          <w:kern w:val="0"/>
          <w:sz w:val="28"/>
          <w:szCs w:val="28"/>
          <w:lang w:val="en-US" w:eastAsia="zh-CN"/>
        </w:rPr>
        <w:t>  下一步改进措施：一是根据年初制定的资金主要支出方向，定期进行预算执行分析工作，通过预算执行分析及时的发现并解决问题，以更好的实施全面预算管理。</w:t>
      </w:r>
    </w:p>
    <w:p w14:paraId="458393A2">
      <w:pPr>
        <w:jc w:val="center"/>
        <w:rPr>
          <w:rFonts w:hint="eastAsia" w:ascii="宋体" w:hAnsi="宋体" w:eastAsia="宋体" w:cs="宋体"/>
          <w:kern w:val="0"/>
          <w:sz w:val="28"/>
          <w:szCs w:val="28"/>
          <w:lang w:val="en-US" w:eastAsia="zh-CN"/>
        </w:rPr>
      </w:pPr>
      <w:r>
        <w:rPr>
          <w:rFonts w:hint="eastAsia" w:ascii="宋体" w:hAnsi="宋体" w:eastAsia="宋体" w:cs="宋体"/>
          <w:b/>
          <w:bCs/>
          <w:kern w:val="0"/>
          <w:sz w:val="28"/>
          <w:szCs w:val="28"/>
          <w:lang w:val="en-US" w:eastAsia="zh-CN"/>
        </w:rPr>
        <w:t>招商引资专项经费自评表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1119"/>
        <w:gridCol w:w="1329"/>
        <w:gridCol w:w="949"/>
        <w:gridCol w:w="369"/>
        <w:gridCol w:w="1458"/>
        <w:gridCol w:w="689"/>
        <w:gridCol w:w="629"/>
        <w:gridCol w:w="884"/>
      </w:tblGrid>
      <w:tr w14:paraId="57FF0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5323437F">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8"/>
            <w:noWrap w:val="0"/>
            <w:vAlign w:val="top"/>
          </w:tcPr>
          <w:p w14:paraId="6823A1C8">
            <w:pPr>
              <w:jc w:val="center"/>
              <w:rPr>
                <w:rFonts w:ascii="Arial"/>
                <w:sz w:val="21"/>
              </w:rPr>
            </w:pPr>
            <w:r>
              <w:rPr>
                <w:rFonts w:ascii="宋体" w:hAnsi="宋体" w:eastAsia="宋体"/>
                <w:color w:val="000000"/>
              </w:rPr>
              <w:t>招商引资专项经费</w:t>
            </w:r>
          </w:p>
        </w:tc>
      </w:tr>
      <w:tr w14:paraId="079F0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10336F8D">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top"/>
          </w:tcPr>
          <w:p w14:paraId="2B070E0C">
            <w:pPr>
              <w:rPr>
                <w:rFonts w:ascii="Arial"/>
                <w:sz w:val="21"/>
              </w:rPr>
            </w:pPr>
            <w:r>
              <w:rPr>
                <w:rFonts w:hint="eastAsia" w:ascii="Arial"/>
                <w:sz w:val="21"/>
              </w:rPr>
              <w:t>下陆区招商服务中心</w:t>
            </w:r>
          </w:p>
        </w:tc>
        <w:tc>
          <w:tcPr>
            <w:tcW w:w="2516" w:type="dxa"/>
            <w:gridSpan w:val="3"/>
            <w:noWrap w:val="0"/>
            <w:vAlign w:val="top"/>
          </w:tcPr>
          <w:p w14:paraId="0BA07C09">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4A2D3994">
            <w:pPr>
              <w:rPr>
                <w:rFonts w:ascii="Arial"/>
                <w:sz w:val="21"/>
              </w:rPr>
            </w:pPr>
            <w:r>
              <w:rPr>
                <w:rFonts w:hint="eastAsia" w:ascii="Arial"/>
                <w:sz w:val="21"/>
              </w:rPr>
              <w:t>下陆区招商服务中心</w:t>
            </w:r>
          </w:p>
        </w:tc>
      </w:tr>
      <w:tr w14:paraId="001C8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EBE9EA2">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8"/>
            <w:noWrap w:val="0"/>
            <w:vAlign w:val="top"/>
          </w:tcPr>
          <w:p w14:paraId="74C62E02">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20624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571E6598">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8"/>
            <w:noWrap w:val="0"/>
            <w:vAlign w:val="top"/>
          </w:tcPr>
          <w:p w14:paraId="655BAF96">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47E57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3D587A3">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8"/>
            <w:noWrap w:val="0"/>
            <w:vAlign w:val="top"/>
          </w:tcPr>
          <w:p w14:paraId="360C9244">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4E42E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16183FB2">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7CFBBD30">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45D07B6">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28FD4B65">
            <w:pPr>
              <w:rPr>
                <w:rFonts w:ascii="Arial"/>
                <w:sz w:val="21"/>
              </w:rPr>
            </w:pPr>
          </w:p>
        </w:tc>
        <w:tc>
          <w:tcPr>
            <w:tcW w:w="1329" w:type="dxa"/>
            <w:noWrap w:val="0"/>
            <w:vAlign w:val="top"/>
          </w:tcPr>
          <w:p w14:paraId="7888B666">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6A8D22CA">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6DD61719">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D0D409B">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49C5AC7F">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111ED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1055234F">
            <w:pPr>
              <w:rPr>
                <w:rFonts w:ascii="Arial"/>
                <w:sz w:val="21"/>
              </w:rPr>
            </w:pPr>
          </w:p>
        </w:tc>
        <w:tc>
          <w:tcPr>
            <w:tcW w:w="1119" w:type="dxa"/>
            <w:noWrap w:val="0"/>
            <w:vAlign w:val="top"/>
          </w:tcPr>
          <w:p w14:paraId="48FCC027">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4ADBF70F">
            <w:pPr>
              <w:rPr>
                <w:rFonts w:hint="default" w:ascii="Arial" w:eastAsia="宋体"/>
                <w:sz w:val="21"/>
                <w:lang w:val="en-US" w:eastAsia="zh-CN"/>
              </w:rPr>
            </w:pPr>
            <w:r>
              <w:rPr>
                <w:rFonts w:hint="eastAsia" w:ascii="Arial"/>
                <w:sz w:val="21"/>
                <w:lang w:val="en-US" w:eastAsia="zh-CN"/>
              </w:rPr>
              <w:t>180</w:t>
            </w:r>
          </w:p>
        </w:tc>
        <w:tc>
          <w:tcPr>
            <w:tcW w:w="1318" w:type="dxa"/>
            <w:gridSpan w:val="2"/>
            <w:noWrap w:val="0"/>
            <w:vAlign w:val="top"/>
          </w:tcPr>
          <w:p w14:paraId="5057FF2F">
            <w:pPr>
              <w:rPr>
                <w:rFonts w:ascii="Arial"/>
                <w:sz w:val="21"/>
              </w:rPr>
            </w:pPr>
            <w:r>
              <w:rPr>
                <w:rFonts w:ascii="宋体" w:hAnsi="宋体" w:eastAsia="宋体" w:cs="宋体"/>
                <w:sz w:val="24"/>
                <w:szCs w:val="24"/>
              </w:rPr>
              <w:t>132.15</w:t>
            </w:r>
          </w:p>
        </w:tc>
        <w:tc>
          <w:tcPr>
            <w:tcW w:w="1458" w:type="dxa"/>
            <w:noWrap w:val="0"/>
            <w:vAlign w:val="top"/>
          </w:tcPr>
          <w:p w14:paraId="11B5D1CD">
            <w:pPr>
              <w:rPr>
                <w:rFonts w:hint="default" w:ascii="Arial" w:eastAsia="宋体"/>
                <w:sz w:val="21"/>
                <w:lang w:val="en-US" w:eastAsia="zh-CN"/>
              </w:rPr>
            </w:pPr>
            <w:r>
              <w:rPr>
                <w:rFonts w:hint="eastAsia" w:ascii="Arial"/>
                <w:sz w:val="21"/>
                <w:lang w:val="en-US" w:eastAsia="zh-CN"/>
              </w:rPr>
              <w:t>73.42%</w:t>
            </w:r>
          </w:p>
        </w:tc>
        <w:tc>
          <w:tcPr>
            <w:tcW w:w="2202" w:type="dxa"/>
            <w:gridSpan w:val="3"/>
            <w:noWrap w:val="0"/>
            <w:vAlign w:val="top"/>
          </w:tcPr>
          <w:p w14:paraId="1E8FA67B">
            <w:pPr>
              <w:rPr>
                <w:rFonts w:hint="default" w:ascii="Arial" w:eastAsia="宋体"/>
                <w:sz w:val="21"/>
                <w:lang w:val="en-US" w:eastAsia="zh-CN"/>
              </w:rPr>
            </w:pPr>
            <w:r>
              <w:rPr>
                <w:rFonts w:hint="eastAsia" w:ascii="Arial"/>
                <w:sz w:val="21"/>
                <w:lang w:val="en-US" w:eastAsia="zh-CN"/>
              </w:rPr>
              <w:t>15</w:t>
            </w:r>
          </w:p>
        </w:tc>
      </w:tr>
      <w:tr w14:paraId="6F541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015EDD83">
            <w:pPr>
              <w:spacing w:line="269" w:lineRule="auto"/>
              <w:rPr>
                <w:rFonts w:ascii="Arial"/>
                <w:sz w:val="21"/>
              </w:rPr>
            </w:pPr>
          </w:p>
          <w:p w14:paraId="5967F45B">
            <w:pPr>
              <w:spacing w:line="269" w:lineRule="auto"/>
              <w:rPr>
                <w:rFonts w:ascii="Arial"/>
                <w:sz w:val="21"/>
              </w:rPr>
            </w:pPr>
          </w:p>
          <w:p w14:paraId="2A7DBF42">
            <w:pPr>
              <w:spacing w:line="269" w:lineRule="auto"/>
              <w:rPr>
                <w:rFonts w:ascii="Arial"/>
                <w:sz w:val="21"/>
              </w:rPr>
            </w:pPr>
          </w:p>
          <w:p w14:paraId="770A846C">
            <w:pPr>
              <w:spacing w:line="270" w:lineRule="auto"/>
              <w:rPr>
                <w:rFonts w:ascii="Arial"/>
                <w:sz w:val="21"/>
              </w:rPr>
            </w:pPr>
          </w:p>
          <w:p w14:paraId="236F7E15">
            <w:pPr>
              <w:spacing w:line="270" w:lineRule="auto"/>
              <w:rPr>
                <w:rFonts w:ascii="Arial"/>
                <w:sz w:val="21"/>
              </w:rPr>
            </w:pPr>
          </w:p>
          <w:p w14:paraId="6A845B25">
            <w:pPr>
              <w:spacing w:line="270" w:lineRule="auto"/>
              <w:rPr>
                <w:rFonts w:ascii="Arial"/>
                <w:sz w:val="21"/>
              </w:rPr>
            </w:pPr>
          </w:p>
          <w:p w14:paraId="0F3A30D7">
            <w:pPr>
              <w:spacing w:line="270" w:lineRule="auto"/>
              <w:rPr>
                <w:rFonts w:ascii="Arial"/>
                <w:sz w:val="21"/>
              </w:rPr>
            </w:pPr>
          </w:p>
          <w:p w14:paraId="3F518BB8">
            <w:pPr>
              <w:jc w:val="center"/>
              <w:rPr>
                <w:b/>
                <w:bCs/>
              </w:rPr>
            </w:pPr>
          </w:p>
          <w:p w14:paraId="47C19BFB">
            <w:pPr>
              <w:jc w:val="center"/>
              <w:rPr>
                <w:b/>
                <w:bCs/>
              </w:rPr>
            </w:pPr>
            <w:r>
              <w:rPr>
                <w:b/>
                <w:bCs/>
              </w:rPr>
              <w:t>年</w:t>
            </w:r>
          </w:p>
          <w:p w14:paraId="088201B4">
            <w:pPr>
              <w:jc w:val="center"/>
              <w:rPr>
                <w:b/>
                <w:bCs/>
              </w:rPr>
            </w:pPr>
            <w:r>
              <w:rPr>
                <w:b/>
                <w:bCs/>
              </w:rPr>
              <w:t>度</w:t>
            </w:r>
          </w:p>
          <w:p w14:paraId="02643848">
            <w:pPr>
              <w:jc w:val="center"/>
              <w:rPr>
                <w:b/>
                <w:bCs/>
              </w:rPr>
            </w:pPr>
            <w:r>
              <w:rPr>
                <w:b/>
                <w:bCs/>
              </w:rPr>
              <w:t>绩</w:t>
            </w:r>
          </w:p>
          <w:p w14:paraId="2341142C">
            <w:pPr>
              <w:jc w:val="center"/>
              <w:rPr>
                <w:b/>
                <w:bCs/>
              </w:rPr>
            </w:pPr>
            <w:r>
              <w:rPr>
                <w:b/>
                <w:bCs/>
              </w:rPr>
              <w:t>效</w:t>
            </w:r>
          </w:p>
          <w:p w14:paraId="08B723F5">
            <w:pPr>
              <w:jc w:val="center"/>
              <w:rPr>
                <w:b/>
                <w:bCs/>
              </w:rPr>
            </w:pPr>
            <w:r>
              <w:rPr>
                <w:b/>
                <w:bCs/>
              </w:rPr>
              <w:t>目</w:t>
            </w:r>
          </w:p>
          <w:p w14:paraId="6796A3F3">
            <w:pPr>
              <w:jc w:val="center"/>
              <w:rPr>
                <w:b/>
                <w:bCs/>
              </w:rPr>
            </w:pPr>
            <w:r>
              <w:rPr>
                <w:b/>
                <w:bCs/>
              </w:rPr>
              <w:t>标</w:t>
            </w:r>
          </w:p>
          <w:p w14:paraId="624F5112">
            <w:pPr>
              <w:jc w:val="center"/>
              <w:rPr>
                <w:rFonts w:ascii="宋体" w:hAnsi="宋体" w:eastAsia="宋体" w:cs="宋体"/>
                <w:sz w:val="22"/>
                <w:szCs w:val="22"/>
              </w:rPr>
            </w:pPr>
            <w:r>
              <w:rPr>
                <w:b/>
                <w:bCs/>
              </w:rPr>
              <w:t>(</w:t>
            </w:r>
            <w:r>
              <w:rPr>
                <w:rFonts w:hint="eastAsia"/>
                <w:b/>
                <w:bCs/>
                <w:lang w:val="en-US" w:eastAsia="zh-CN"/>
              </w:rPr>
              <w:t>80</w:t>
            </w:r>
            <w:r>
              <w:rPr>
                <w:b/>
                <w:bCs/>
              </w:rPr>
              <w:t>分 )</w:t>
            </w:r>
          </w:p>
        </w:tc>
        <w:tc>
          <w:tcPr>
            <w:tcW w:w="689" w:type="dxa"/>
            <w:noWrap w:val="0"/>
            <w:vAlign w:val="top"/>
          </w:tcPr>
          <w:p w14:paraId="3A1EECCE">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noWrap w:val="0"/>
            <w:vAlign w:val="top"/>
          </w:tcPr>
          <w:p w14:paraId="3C10E291">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27E533A1">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1FA60DC9">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1B913C5A">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6DC53214">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38F18E92">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12860577">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4BE63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814" w:type="dxa"/>
            <w:vMerge w:val="continue"/>
            <w:tcBorders>
              <w:top w:val="nil"/>
              <w:bottom w:val="nil"/>
            </w:tcBorders>
            <w:noWrap w:val="0"/>
            <w:vAlign w:val="top"/>
          </w:tcPr>
          <w:p w14:paraId="50706CAD">
            <w:pPr>
              <w:rPr>
                <w:rFonts w:ascii="Arial"/>
                <w:sz w:val="21"/>
              </w:rPr>
            </w:pPr>
          </w:p>
        </w:tc>
        <w:tc>
          <w:tcPr>
            <w:tcW w:w="689" w:type="dxa"/>
            <w:vMerge w:val="restart"/>
            <w:noWrap w:val="0"/>
            <w:vAlign w:val="top"/>
          </w:tcPr>
          <w:p w14:paraId="4CCF7267">
            <w:pPr>
              <w:rPr>
                <w:b/>
                <w:bCs/>
              </w:rPr>
            </w:pPr>
          </w:p>
          <w:p w14:paraId="4680DE92">
            <w:pPr>
              <w:rPr>
                <w:b/>
                <w:bCs/>
              </w:rPr>
            </w:pPr>
          </w:p>
          <w:p w14:paraId="7749DE46">
            <w:pPr>
              <w:rPr>
                <w:b/>
                <w:bCs/>
              </w:rPr>
            </w:pPr>
          </w:p>
          <w:p w14:paraId="3853168B">
            <w:pPr>
              <w:jc w:val="center"/>
              <w:rPr>
                <w:b/>
                <w:bCs/>
              </w:rPr>
            </w:pPr>
            <w:r>
              <w:rPr>
                <w:b/>
                <w:bCs/>
              </w:rPr>
              <w:t>产出</w:t>
            </w:r>
          </w:p>
          <w:p w14:paraId="2A02191C">
            <w:pPr>
              <w:jc w:val="center"/>
              <w:rPr>
                <w:rFonts w:hint="eastAsia" w:eastAsia="宋体"/>
                <w:b/>
                <w:bCs/>
                <w:lang w:val="en-US" w:eastAsia="zh-CN"/>
              </w:rPr>
            </w:pPr>
            <w:r>
              <w:rPr>
                <w:rFonts w:hint="eastAsia"/>
                <w:b/>
                <w:bCs/>
                <w:lang w:val="en-US" w:eastAsia="zh-CN"/>
              </w:rPr>
              <w:t>指标</w:t>
            </w:r>
          </w:p>
        </w:tc>
        <w:tc>
          <w:tcPr>
            <w:tcW w:w="1119" w:type="dxa"/>
            <w:vMerge w:val="restart"/>
            <w:noWrap w:val="0"/>
            <w:vAlign w:val="top"/>
          </w:tcPr>
          <w:p w14:paraId="3437A947">
            <w:pPr>
              <w:jc w:val="center"/>
              <w:rPr>
                <w:rFonts w:hint="eastAsia" w:ascii="Arial" w:eastAsia="宋体"/>
                <w:sz w:val="21"/>
                <w:lang w:eastAsia="zh-CN"/>
              </w:rPr>
            </w:pPr>
            <w:r>
              <w:rPr>
                <w:rFonts w:hint="eastAsia" w:ascii="Arial"/>
                <w:sz w:val="21"/>
                <w:lang w:eastAsia="zh-CN"/>
              </w:rPr>
              <w:t>数量指标</w:t>
            </w:r>
          </w:p>
        </w:tc>
        <w:tc>
          <w:tcPr>
            <w:tcW w:w="2647" w:type="dxa"/>
            <w:gridSpan w:val="3"/>
            <w:noWrap w:val="0"/>
            <w:vAlign w:val="top"/>
          </w:tcPr>
          <w:p w14:paraId="1F0B8F1A">
            <w:pPr>
              <w:rPr>
                <w:rFonts w:hint="eastAsia" w:ascii="Arial" w:eastAsia="宋体"/>
                <w:sz w:val="21"/>
                <w:lang w:eastAsia="zh-CN"/>
              </w:rPr>
            </w:pPr>
            <w:r>
              <w:rPr>
                <w:rFonts w:hint="eastAsia" w:ascii="Arial"/>
                <w:sz w:val="21"/>
                <w:lang w:eastAsia="zh-CN"/>
              </w:rPr>
              <w:t>新签约重点项目</w:t>
            </w:r>
          </w:p>
        </w:tc>
        <w:tc>
          <w:tcPr>
            <w:tcW w:w="1458" w:type="dxa"/>
            <w:noWrap w:val="0"/>
            <w:vAlign w:val="top"/>
          </w:tcPr>
          <w:p w14:paraId="4348FB81">
            <w:pPr>
              <w:rPr>
                <w:rFonts w:hint="default" w:ascii="Arial" w:eastAsia="宋体"/>
                <w:sz w:val="21"/>
                <w:lang w:val="en-US" w:eastAsia="zh-CN"/>
              </w:rPr>
            </w:pPr>
            <w:r>
              <w:rPr>
                <w:rFonts w:hint="eastAsia" w:ascii="Arial"/>
                <w:sz w:val="21"/>
                <w:lang w:val="en-US" w:eastAsia="zh-CN"/>
              </w:rPr>
              <w:t>21个</w:t>
            </w:r>
          </w:p>
        </w:tc>
        <w:tc>
          <w:tcPr>
            <w:tcW w:w="1318" w:type="dxa"/>
            <w:gridSpan w:val="2"/>
            <w:noWrap w:val="0"/>
            <w:vAlign w:val="top"/>
          </w:tcPr>
          <w:p w14:paraId="47E817AD">
            <w:pPr>
              <w:rPr>
                <w:rFonts w:hint="default" w:ascii="Arial" w:eastAsia="宋体"/>
                <w:sz w:val="21"/>
                <w:lang w:val="en-US" w:eastAsia="zh-CN"/>
              </w:rPr>
            </w:pPr>
            <w:r>
              <w:rPr>
                <w:rFonts w:hint="eastAsia" w:ascii="Arial"/>
                <w:sz w:val="21"/>
                <w:lang w:val="en-US" w:eastAsia="zh-CN"/>
              </w:rPr>
              <w:t>27个</w:t>
            </w:r>
          </w:p>
        </w:tc>
        <w:tc>
          <w:tcPr>
            <w:tcW w:w="884" w:type="dxa"/>
            <w:noWrap w:val="0"/>
            <w:vAlign w:val="top"/>
          </w:tcPr>
          <w:p w14:paraId="4E78E5E5">
            <w:pPr>
              <w:rPr>
                <w:rFonts w:hint="default" w:ascii="Arial" w:eastAsia="宋体"/>
                <w:sz w:val="21"/>
                <w:lang w:val="en-US" w:eastAsia="zh-CN"/>
              </w:rPr>
            </w:pPr>
            <w:r>
              <w:rPr>
                <w:rFonts w:hint="eastAsia" w:ascii="Arial"/>
                <w:sz w:val="21"/>
                <w:lang w:val="en-US" w:eastAsia="zh-CN"/>
              </w:rPr>
              <w:t>10</w:t>
            </w:r>
          </w:p>
        </w:tc>
      </w:tr>
      <w:tr w14:paraId="6411B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14" w:type="dxa"/>
            <w:vMerge w:val="continue"/>
            <w:tcBorders>
              <w:top w:val="nil"/>
              <w:bottom w:val="nil"/>
            </w:tcBorders>
            <w:noWrap w:val="0"/>
            <w:vAlign w:val="top"/>
          </w:tcPr>
          <w:p w14:paraId="545DC787">
            <w:pPr>
              <w:rPr>
                <w:rFonts w:ascii="Arial"/>
                <w:sz w:val="21"/>
              </w:rPr>
            </w:pPr>
          </w:p>
        </w:tc>
        <w:tc>
          <w:tcPr>
            <w:tcW w:w="689" w:type="dxa"/>
            <w:vMerge w:val="continue"/>
            <w:noWrap w:val="0"/>
            <w:vAlign w:val="top"/>
          </w:tcPr>
          <w:p w14:paraId="48E91E56">
            <w:pPr>
              <w:rPr>
                <w:b/>
                <w:bCs/>
              </w:rPr>
            </w:pPr>
          </w:p>
        </w:tc>
        <w:tc>
          <w:tcPr>
            <w:tcW w:w="1119" w:type="dxa"/>
            <w:vMerge w:val="continue"/>
            <w:noWrap w:val="0"/>
            <w:vAlign w:val="top"/>
          </w:tcPr>
          <w:p w14:paraId="3B1EE4F6">
            <w:pPr>
              <w:rPr>
                <w:rFonts w:ascii="Arial"/>
                <w:sz w:val="21"/>
              </w:rPr>
            </w:pPr>
          </w:p>
        </w:tc>
        <w:tc>
          <w:tcPr>
            <w:tcW w:w="2647" w:type="dxa"/>
            <w:gridSpan w:val="3"/>
            <w:noWrap w:val="0"/>
            <w:vAlign w:val="top"/>
          </w:tcPr>
          <w:p w14:paraId="73820A25">
            <w:pPr>
              <w:rPr>
                <w:rFonts w:hint="eastAsia" w:ascii="Arial" w:eastAsia="宋体"/>
                <w:sz w:val="21"/>
                <w:lang w:eastAsia="zh-CN"/>
              </w:rPr>
            </w:pPr>
            <w:r>
              <w:rPr>
                <w:rFonts w:hint="eastAsia" w:ascii="Arial"/>
                <w:sz w:val="21"/>
                <w:lang w:eastAsia="zh-CN"/>
              </w:rPr>
              <w:t>新注册重点项目</w:t>
            </w:r>
          </w:p>
        </w:tc>
        <w:tc>
          <w:tcPr>
            <w:tcW w:w="1458" w:type="dxa"/>
            <w:noWrap w:val="0"/>
            <w:vAlign w:val="top"/>
          </w:tcPr>
          <w:p w14:paraId="5C0DEBED">
            <w:pPr>
              <w:rPr>
                <w:rFonts w:hint="default" w:ascii="Arial" w:eastAsia="宋体"/>
                <w:sz w:val="21"/>
                <w:lang w:val="en-US" w:eastAsia="zh-CN"/>
              </w:rPr>
            </w:pPr>
            <w:r>
              <w:rPr>
                <w:rFonts w:hint="eastAsia" w:ascii="Arial"/>
                <w:sz w:val="21"/>
                <w:lang w:val="en-US" w:eastAsia="zh-CN"/>
              </w:rPr>
              <w:t>16个</w:t>
            </w:r>
          </w:p>
        </w:tc>
        <w:tc>
          <w:tcPr>
            <w:tcW w:w="1318" w:type="dxa"/>
            <w:gridSpan w:val="2"/>
            <w:noWrap w:val="0"/>
            <w:vAlign w:val="top"/>
          </w:tcPr>
          <w:p w14:paraId="3D4CAC71">
            <w:pPr>
              <w:rPr>
                <w:rFonts w:hint="default" w:ascii="Arial" w:eastAsia="宋体"/>
                <w:sz w:val="21"/>
                <w:lang w:val="en-US" w:eastAsia="zh-CN"/>
              </w:rPr>
            </w:pPr>
            <w:r>
              <w:rPr>
                <w:rFonts w:hint="eastAsia" w:ascii="Arial"/>
                <w:sz w:val="21"/>
                <w:lang w:val="en-US" w:eastAsia="zh-CN"/>
              </w:rPr>
              <w:t>17个</w:t>
            </w:r>
          </w:p>
        </w:tc>
        <w:tc>
          <w:tcPr>
            <w:tcW w:w="884" w:type="dxa"/>
            <w:noWrap w:val="0"/>
            <w:vAlign w:val="top"/>
          </w:tcPr>
          <w:p w14:paraId="7218B41D">
            <w:pPr>
              <w:rPr>
                <w:rFonts w:hint="default" w:ascii="Arial" w:eastAsia="宋体"/>
                <w:sz w:val="21"/>
                <w:lang w:val="en-US" w:eastAsia="zh-CN"/>
              </w:rPr>
            </w:pPr>
            <w:r>
              <w:rPr>
                <w:rFonts w:hint="eastAsia" w:ascii="Arial"/>
                <w:sz w:val="21"/>
                <w:lang w:val="en-US" w:eastAsia="zh-CN"/>
              </w:rPr>
              <w:t>10</w:t>
            </w:r>
          </w:p>
        </w:tc>
      </w:tr>
      <w:tr w14:paraId="6811B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814" w:type="dxa"/>
            <w:vMerge w:val="continue"/>
            <w:tcBorders>
              <w:top w:val="nil"/>
              <w:bottom w:val="nil"/>
            </w:tcBorders>
            <w:noWrap w:val="0"/>
            <w:vAlign w:val="top"/>
          </w:tcPr>
          <w:p w14:paraId="11AD3C39">
            <w:pPr>
              <w:rPr>
                <w:rFonts w:ascii="Arial"/>
                <w:sz w:val="21"/>
              </w:rPr>
            </w:pPr>
          </w:p>
        </w:tc>
        <w:tc>
          <w:tcPr>
            <w:tcW w:w="689" w:type="dxa"/>
            <w:vMerge w:val="continue"/>
            <w:noWrap w:val="0"/>
            <w:vAlign w:val="top"/>
          </w:tcPr>
          <w:p w14:paraId="7E7D54FD">
            <w:pPr>
              <w:rPr>
                <w:b/>
                <w:bCs/>
              </w:rPr>
            </w:pPr>
          </w:p>
        </w:tc>
        <w:tc>
          <w:tcPr>
            <w:tcW w:w="1119" w:type="dxa"/>
            <w:noWrap w:val="0"/>
            <w:vAlign w:val="top"/>
          </w:tcPr>
          <w:p w14:paraId="501FCF9C">
            <w:pPr>
              <w:jc w:val="center"/>
              <w:rPr>
                <w:rFonts w:hint="eastAsia" w:ascii="Arial" w:hAnsi="Times New Roman" w:eastAsia="宋体" w:cs="Times New Roman"/>
                <w:sz w:val="21"/>
                <w:lang w:eastAsia="zh-CN"/>
              </w:rPr>
            </w:pPr>
            <w:r>
              <w:rPr>
                <w:rFonts w:hint="eastAsia" w:ascii="Arial" w:hAnsi="Times New Roman" w:eastAsia="宋体" w:cs="Times New Roman"/>
                <w:sz w:val="21"/>
                <w:lang w:eastAsia="zh-CN"/>
              </w:rPr>
              <w:t>质量指标</w:t>
            </w:r>
          </w:p>
          <w:p w14:paraId="3A1ED52B">
            <w:pPr>
              <w:rPr>
                <w:rFonts w:hint="eastAsia" w:ascii="Arial" w:hAnsi="Times New Roman" w:eastAsia="宋体" w:cs="Times New Roman"/>
                <w:sz w:val="21"/>
                <w:lang w:eastAsia="zh-CN"/>
              </w:rPr>
            </w:pPr>
          </w:p>
        </w:tc>
        <w:tc>
          <w:tcPr>
            <w:tcW w:w="2647" w:type="dxa"/>
            <w:gridSpan w:val="3"/>
            <w:noWrap w:val="0"/>
            <w:vAlign w:val="top"/>
          </w:tcPr>
          <w:p w14:paraId="2F928212">
            <w:pPr>
              <w:rPr>
                <w:rFonts w:hint="eastAsia" w:ascii="Arial" w:hAnsi="Times New Roman" w:eastAsia="宋体" w:cs="Times New Roman"/>
                <w:sz w:val="21"/>
                <w:lang w:eastAsia="zh-CN"/>
              </w:rPr>
            </w:pPr>
            <w:r>
              <w:rPr>
                <w:rFonts w:hint="eastAsia" w:ascii="Arial" w:hAnsi="Times New Roman" w:eastAsia="宋体" w:cs="Times New Roman"/>
                <w:sz w:val="21"/>
                <w:lang w:eastAsia="zh-CN"/>
              </w:rPr>
              <w:t>实际到位内资</w:t>
            </w:r>
          </w:p>
        </w:tc>
        <w:tc>
          <w:tcPr>
            <w:tcW w:w="1458" w:type="dxa"/>
            <w:noWrap w:val="0"/>
            <w:vAlign w:val="top"/>
          </w:tcPr>
          <w:p w14:paraId="7ACF4DE4">
            <w:pPr>
              <w:rPr>
                <w:rFonts w:hint="default" w:ascii="Arial" w:eastAsia="宋体"/>
                <w:sz w:val="21"/>
                <w:lang w:val="en-US" w:eastAsia="zh-CN"/>
              </w:rPr>
            </w:pPr>
            <w:r>
              <w:rPr>
                <w:rFonts w:hint="eastAsia" w:ascii="Arial"/>
                <w:sz w:val="21"/>
                <w:lang w:val="en-US" w:eastAsia="zh-CN"/>
              </w:rPr>
              <w:t>75亿元</w:t>
            </w:r>
          </w:p>
        </w:tc>
        <w:tc>
          <w:tcPr>
            <w:tcW w:w="1318" w:type="dxa"/>
            <w:gridSpan w:val="2"/>
            <w:noWrap w:val="0"/>
            <w:vAlign w:val="top"/>
          </w:tcPr>
          <w:p w14:paraId="3E23F770">
            <w:pPr>
              <w:rPr>
                <w:rFonts w:hint="default" w:ascii="Arial" w:eastAsia="宋体"/>
                <w:sz w:val="21"/>
                <w:lang w:val="en-US" w:eastAsia="zh-CN"/>
              </w:rPr>
            </w:pPr>
            <w:r>
              <w:rPr>
                <w:rFonts w:hint="eastAsia" w:ascii="Arial"/>
                <w:sz w:val="21"/>
                <w:lang w:val="en-US" w:eastAsia="zh-CN"/>
              </w:rPr>
              <w:t>80.05亿元</w:t>
            </w:r>
          </w:p>
        </w:tc>
        <w:tc>
          <w:tcPr>
            <w:tcW w:w="884" w:type="dxa"/>
            <w:noWrap w:val="0"/>
            <w:vAlign w:val="top"/>
          </w:tcPr>
          <w:p w14:paraId="30081749">
            <w:pPr>
              <w:rPr>
                <w:rFonts w:hint="default" w:ascii="Arial" w:eastAsia="宋体"/>
                <w:sz w:val="21"/>
                <w:lang w:val="en-US" w:eastAsia="zh-CN"/>
              </w:rPr>
            </w:pPr>
            <w:r>
              <w:rPr>
                <w:rFonts w:hint="eastAsia" w:ascii="Arial"/>
                <w:sz w:val="21"/>
                <w:lang w:val="en-US" w:eastAsia="zh-CN"/>
              </w:rPr>
              <w:t>10</w:t>
            </w:r>
          </w:p>
        </w:tc>
      </w:tr>
      <w:tr w14:paraId="63B36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814" w:type="dxa"/>
            <w:vMerge w:val="continue"/>
            <w:tcBorders>
              <w:top w:val="nil"/>
              <w:bottom w:val="nil"/>
            </w:tcBorders>
            <w:noWrap w:val="0"/>
            <w:vAlign w:val="top"/>
          </w:tcPr>
          <w:p w14:paraId="637FC9FC">
            <w:pPr>
              <w:rPr>
                <w:rFonts w:ascii="Arial"/>
                <w:sz w:val="21"/>
              </w:rPr>
            </w:pPr>
          </w:p>
        </w:tc>
        <w:tc>
          <w:tcPr>
            <w:tcW w:w="689" w:type="dxa"/>
            <w:vMerge w:val="continue"/>
            <w:noWrap w:val="0"/>
            <w:vAlign w:val="top"/>
          </w:tcPr>
          <w:p w14:paraId="51267CC5">
            <w:pPr>
              <w:jc w:val="center"/>
              <w:rPr>
                <w:rFonts w:ascii="Calibri" w:hAnsi="Calibri" w:eastAsia="宋体" w:cs="Times New Roman"/>
                <w:b/>
                <w:bCs/>
              </w:rPr>
            </w:pPr>
          </w:p>
        </w:tc>
        <w:tc>
          <w:tcPr>
            <w:tcW w:w="1119" w:type="dxa"/>
            <w:vMerge w:val="restart"/>
            <w:noWrap w:val="0"/>
            <w:vAlign w:val="top"/>
          </w:tcPr>
          <w:p w14:paraId="0E98D988">
            <w:pPr>
              <w:jc w:val="center"/>
              <w:rPr>
                <w:rFonts w:hint="eastAsia" w:ascii="Arial" w:hAnsi="Times New Roman" w:eastAsia="宋体" w:cs="Times New Roman"/>
                <w:sz w:val="21"/>
                <w:lang w:eastAsia="zh-CN"/>
              </w:rPr>
            </w:pPr>
            <w:r>
              <w:rPr>
                <w:rFonts w:hint="eastAsia" w:ascii="Arial" w:hAnsi="Times New Roman" w:eastAsia="宋体" w:cs="Times New Roman"/>
                <w:sz w:val="21"/>
                <w:lang w:eastAsia="zh-CN"/>
              </w:rPr>
              <w:t>时效指标</w:t>
            </w:r>
          </w:p>
        </w:tc>
        <w:tc>
          <w:tcPr>
            <w:tcW w:w="2647" w:type="dxa"/>
            <w:gridSpan w:val="3"/>
            <w:noWrap w:val="0"/>
            <w:vAlign w:val="top"/>
          </w:tcPr>
          <w:p w14:paraId="3D976373">
            <w:pPr>
              <w:rPr>
                <w:rFonts w:hint="eastAsia" w:ascii="Arial" w:eastAsia="宋体"/>
                <w:sz w:val="21"/>
                <w:lang w:eastAsia="zh-CN"/>
              </w:rPr>
            </w:pPr>
            <w:r>
              <w:rPr>
                <w:rFonts w:hint="eastAsia" w:ascii="Arial"/>
                <w:sz w:val="21"/>
                <w:lang w:eastAsia="zh-CN"/>
              </w:rPr>
              <w:t>新开工重点项目</w:t>
            </w:r>
          </w:p>
        </w:tc>
        <w:tc>
          <w:tcPr>
            <w:tcW w:w="1458" w:type="dxa"/>
            <w:noWrap w:val="0"/>
            <w:vAlign w:val="top"/>
          </w:tcPr>
          <w:p w14:paraId="36ABD1D0">
            <w:pPr>
              <w:rPr>
                <w:rFonts w:hint="default" w:ascii="Arial" w:eastAsia="宋体"/>
                <w:sz w:val="21"/>
                <w:lang w:val="en-US" w:eastAsia="zh-CN"/>
              </w:rPr>
            </w:pPr>
            <w:r>
              <w:rPr>
                <w:rFonts w:hint="eastAsia" w:ascii="Arial"/>
                <w:sz w:val="21"/>
                <w:lang w:val="en-US" w:eastAsia="zh-CN"/>
              </w:rPr>
              <w:t>10个</w:t>
            </w:r>
          </w:p>
        </w:tc>
        <w:tc>
          <w:tcPr>
            <w:tcW w:w="1318" w:type="dxa"/>
            <w:gridSpan w:val="2"/>
            <w:noWrap w:val="0"/>
            <w:vAlign w:val="top"/>
          </w:tcPr>
          <w:p w14:paraId="552B4ABB">
            <w:pPr>
              <w:rPr>
                <w:rFonts w:hint="default" w:ascii="Arial" w:eastAsia="宋体"/>
                <w:sz w:val="21"/>
                <w:lang w:val="en-US" w:eastAsia="zh-CN"/>
              </w:rPr>
            </w:pPr>
            <w:r>
              <w:rPr>
                <w:rFonts w:hint="eastAsia" w:ascii="Arial"/>
                <w:sz w:val="21"/>
                <w:lang w:val="en-US" w:eastAsia="zh-CN"/>
              </w:rPr>
              <w:t>12.5个</w:t>
            </w:r>
          </w:p>
        </w:tc>
        <w:tc>
          <w:tcPr>
            <w:tcW w:w="884" w:type="dxa"/>
            <w:noWrap w:val="0"/>
            <w:vAlign w:val="top"/>
          </w:tcPr>
          <w:p w14:paraId="75DB6D66">
            <w:pPr>
              <w:rPr>
                <w:rFonts w:hint="default" w:ascii="Arial" w:eastAsia="宋体"/>
                <w:sz w:val="21"/>
                <w:lang w:val="en-US" w:eastAsia="zh-CN"/>
              </w:rPr>
            </w:pPr>
            <w:r>
              <w:rPr>
                <w:rFonts w:hint="eastAsia" w:ascii="Arial"/>
                <w:sz w:val="21"/>
                <w:lang w:val="en-US" w:eastAsia="zh-CN"/>
              </w:rPr>
              <w:t>10</w:t>
            </w:r>
          </w:p>
        </w:tc>
      </w:tr>
      <w:tr w14:paraId="2012E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814" w:type="dxa"/>
            <w:vMerge w:val="continue"/>
            <w:tcBorders>
              <w:top w:val="nil"/>
              <w:bottom w:val="nil"/>
            </w:tcBorders>
            <w:noWrap w:val="0"/>
            <w:vAlign w:val="top"/>
          </w:tcPr>
          <w:p w14:paraId="6547F7F3">
            <w:pPr>
              <w:rPr>
                <w:rFonts w:ascii="Arial"/>
                <w:sz w:val="21"/>
              </w:rPr>
            </w:pPr>
          </w:p>
        </w:tc>
        <w:tc>
          <w:tcPr>
            <w:tcW w:w="689" w:type="dxa"/>
            <w:vMerge w:val="continue"/>
            <w:noWrap w:val="0"/>
            <w:vAlign w:val="top"/>
          </w:tcPr>
          <w:p w14:paraId="79E7AEC5">
            <w:pPr>
              <w:jc w:val="center"/>
              <w:rPr>
                <w:rFonts w:ascii="Calibri" w:hAnsi="Calibri" w:eastAsia="宋体" w:cs="Times New Roman"/>
                <w:b/>
                <w:bCs/>
              </w:rPr>
            </w:pPr>
          </w:p>
        </w:tc>
        <w:tc>
          <w:tcPr>
            <w:tcW w:w="1119" w:type="dxa"/>
            <w:vMerge w:val="continue"/>
            <w:noWrap w:val="0"/>
            <w:vAlign w:val="top"/>
          </w:tcPr>
          <w:p w14:paraId="653B936E">
            <w:pPr>
              <w:jc w:val="center"/>
              <w:rPr>
                <w:rFonts w:hint="eastAsia" w:ascii="Arial" w:hAnsi="Times New Roman" w:eastAsia="宋体" w:cs="Times New Roman"/>
                <w:sz w:val="21"/>
                <w:lang w:eastAsia="zh-CN"/>
              </w:rPr>
            </w:pPr>
          </w:p>
        </w:tc>
        <w:tc>
          <w:tcPr>
            <w:tcW w:w="2647" w:type="dxa"/>
            <w:gridSpan w:val="3"/>
            <w:noWrap w:val="0"/>
            <w:vAlign w:val="top"/>
          </w:tcPr>
          <w:p w14:paraId="12AF409E">
            <w:pPr>
              <w:rPr>
                <w:rFonts w:hint="eastAsia" w:ascii="Arial" w:eastAsia="宋体"/>
                <w:sz w:val="21"/>
                <w:lang w:eastAsia="zh-CN"/>
              </w:rPr>
            </w:pPr>
            <w:r>
              <w:rPr>
                <w:rFonts w:hint="eastAsia" w:ascii="Arial"/>
                <w:sz w:val="21"/>
                <w:lang w:eastAsia="zh-CN"/>
              </w:rPr>
              <w:t>新投产重点项目</w:t>
            </w:r>
          </w:p>
        </w:tc>
        <w:tc>
          <w:tcPr>
            <w:tcW w:w="1458" w:type="dxa"/>
            <w:noWrap w:val="0"/>
            <w:vAlign w:val="top"/>
          </w:tcPr>
          <w:p w14:paraId="6B1AE5C4">
            <w:pPr>
              <w:rPr>
                <w:rFonts w:hint="eastAsia" w:ascii="Arial" w:eastAsia="宋体"/>
                <w:sz w:val="21"/>
                <w:lang w:val="en-US" w:eastAsia="zh-CN"/>
              </w:rPr>
            </w:pPr>
            <w:r>
              <w:rPr>
                <w:rFonts w:hint="eastAsia" w:ascii="Arial"/>
                <w:sz w:val="21"/>
                <w:lang w:val="en-US" w:eastAsia="zh-CN"/>
              </w:rPr>
              <w:t>8个</w:t>
            </w:r>
          </w:p>
        </w:tc>
        <w:tc>
          <w:tcPr>
            <w:tcW w:w="1318" w:type="dxa"/>
            <w:gridSpan w:val="2"/>
            <w:noWrap w:val="0"/>
            <w:vAlign w:val="top"/>
          </w:tcPr>
          <w:p w14:paraId="0DCDCF9D">
            <w:pPr>
              <w:rPr>
                <w:rFonts w:hint="default" w:ascii="Arial" w:eastAsia="宋体"/>
                <w:sz w:val="21"/>
                <w:lang w:val="en-US" w:eastAsia="zh-CN"/>
              </w:rPr>
            </w:pPr>
            <w:r>
              <w:rPr>
                <w:rFonts w:hint="eastAsia" w:ascii="Arial"/>
                <w:sz w:val="21"/>
                <w:lang w:val="en-US" w:eastAsia="zh-CN"/>
              </w:rPr>
              <w:t>11.01个</w:t>
            </w:r>
          </w:p>
        </w:tc>
        <w:tc>
          <w:tcPr>
            <w:tcW w:w="884" w:type="dxa"/>
            <w:noWrap w:val="0"/>
            <w:vAlign w:val="top"/>
          </w:tcPr>
          <w:p w14:paraId="31B9C038">
            <w:pPr>
              <w:rPr>
                <w:rFonts w:hint="default" w:ascii="Arial" w:eastAsia="宋体"/>
                <w:sz w:val="21"/>
                <w:lang w:val="en-US" w:eastAsia="zh-CN"/>
              </w:rPr>
            </w:pPr>
            <w:r>
              <w:rPr>
                <w:rFonts w:hint="eastAsia" w:ascii="Arial"/>
                <w:sz w:val="21"/>
                <w:lang w:val="en-US" w:eastAsia="zh-CN"/>
              </w:rPr>
              <w:t>10</w:t>
            </w:r>
          </w:p>
        </w:tc>
      </w:tr>
      <w:tr w14:paraId="2F577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814" w:type="dxa"/>
            <w:vMerge w:val="continue"/>
            <w:tcBorders>
              <w:top w:val="nil"/>
              <w:bottom w:val="nil"/>
            </w:tcBorders>
            <w:noWrap w:val="0"/>
            <w:vAlign w:val="top"/>
          </w:tcPr>
          <w:p w14:paraId="4F8D4DBF">
            <w:pPr>
              <w:rPr>
                <w:rFonts w:ascii="Arial"/>
                <w:sz w:val="21"/>
              </w:rPr>
            </w:pPr>
          </w:p>
        </w:tc>
        <w:tc>
          <w:tcPr>
            <w:tcW w:w="689" w:type="dxa"/>
            <w:vMerge w:val="restart"/>
            <w:tcBorders>
              <w:bottom w:val="nil"/>
            </w:tcBorders>
            <w:noWrap w:val="0"/>
            <w:vAlign w:val="top"/>
          </w:tcPr>
          <w:p w14:paraId="2DCAA5DF">
            <w:pPr>
              <w:jc w:val="center"/>
              <w:rPr>
                <w:rFonts w:ascii="Calibri" w:hAnsi="Calibri" w:eastAsia="宋体" w:cs="Times New Roman"/>
                <w:b/>
                <w:bCs/>
              </w:rPr>
            </w:pPr>
          </w:p>
          <w:p w14:paraId="0E0D62EA">
            <w:pPr>
              <w:jc w:val="center"/>
              <w:rPr>
                <w:rFonts w:ascii="Calibri" w:hAnsi="Calibri" w:eastAsia="宋体" w:cs="Times New Roman"/>
                <w:b/>
                <w:bCs/>
              </w:rPr>
            </w:pPr>
          </w:p>
          <w:p w14:paraId="059D45E6">
            <w:pPr>
              <w:jc w:val="center"/>
              <w:rPr>
                <w:rFonts w:ascii="Calibri" w:hAnsi="Calibri" w:eastAsia="宋体" w:cs="Times New Roman"/>
                <w:b/>
                <w:bCs/>
              </w:rPr>
            </w:pPr>
          </w:p>
          <w:p w14:paraId="3C8A12F6">
            <w:pPr>
              <w:jc w:val="center"/>
              <w:rPr>
                <w:rFonts w:ascii="Calibri" w:hAnsi="Calibri" w:eastAsia="宋体" w:cs="Times New Roman"/>
                <w:b/>
                <w:bCs/>
              </w:rPr>
            </w:pPr>
            <w:r>
              <w:rPr>
                <w:rFonts w:ascii="Calibri" w:hAnsi="Calibri" w:eastAsia="宋体" w:cs="Times New Roman"/>
                <w:b/>
                <w:bCs/>
              </w:rPr>
              <w:t>效益 指标</w:t>
            </w:r>
          </w:p>
        </w:tc>
        <w:tc>
          <w:tcPr>
            <w:tcW w:w="1119" w:type="dxa"/>
            <w:noWrap w:val="0"/>
            <w:vAlign w:val="top"/>
          </w:tcPr>
          <w:p w14:paraId="271BA3A1">
            <w:pPr>
              <w:spacing w:before="211" w:line="169" w:lineRule="exact"/>
              <w:rPr>
                <w:rFonts w:ascii="宋体" w:hAnsi="宋体" w:eastAsia="宋体" w:cs="宋体"/>
                <w:sz w:val="11"/>
                <w:szCs w:val="11"/>
              </w:rPr>
            </w:pPr>
            <w:r>
              <w:rPr>
                <w:rFonts w:hint="eastAsia" w:ascii="宋体" w:hAnsi="宋体" w:eastAsia="宋体" w:cs="宋体"/>
                <w:spacing w:val="-6"/>
                <w:position w:val="2"/>
                <w:sz w:val="22"/>
                <w:szCs w:val="22"/>
                <w:lang w:eastAsia="zh-CN"/>
              </w:rPr>
              <w:t>经济效益指标</w:t>
            </w:r>
          </w:p>
        </w:tc>
        <w:tc>
          <w:tcPr>
            <w:tcW w:w="2647" w:type="dxa"/>
            <w:gridSpan w:val="3"/>
            <w:noWrap w:val="0"/>
            <w:vAlign w:val="top"/>
          </w:tcPr>
          <w:p w14:paraId="17EE19E5">
            <w:pPr>
              <w:rPr>
                <w:rFonts w:hint="eastAsia" w:ascii="Arial"/>
                <w:sz w:val="21"/>
              </w:rPr>
            </w:pPr>
            <w:r>
              <w:rPr>
                <w:rFonts w:hint="eastAsia" w:ascii="Arial"/>
                <w:sz w:val="21"/>
              </w:rPr>
              <w:t>积极推进招财引税，壮大总部经济规模。</w:t>
            </w:r>
          </w:p>
          <w:p w14:paraId="6C09FF74">
            <w:pPr>
              <w:rPr>
                <w:rFonts w:hint="eastAsia" w:ascii="Arial"/>
                <w:sz w:val="21"/>
              </w:rPr>
            </w:pPr>
            <w:r>
              <w:rPr>
                <w:rFonts w:hint="eastAsia" w:ascii="Arial"/>
                <w:sz w:val="21"/>
              </w:rPr>
              <w:t>推进循环经济产业圈、临空临港产业圈、文旅健康产业圈、鄂东消费核心圈融合，建设循环经济产业园、高端装备制造产业园、临空跨境电商产业园、东方大健康产业园、城市更新文化产业园，我们紧紧围绕这个目标，在招商的重点区域和重点领域持续发力。</w:t>
            </w:r>
          </w:p>
          <w:p w14:paraId="51F61E25">
            <w:pPr>
              <w:rPr>
                <w:rFonts w:hint="eastAsia" w:ascii="Arial" w:eastAsia="宋体"/>
                <w:sz w:val="21"/>
                <w:lang w:eastAsia="zh-CN"/>
              </w:rPr>
            </w:pPr>
          </w:p>
        </w:tc>
        <w:tc>
          <w:tcPr>
            <w:tcW w:w="1458" w:type="dxa"/>
            <w:noWrap w:val="0"/>
            <w:vAlign w:val="top"/>
          </w:tcPr>
          <w:p w14:paraId="3AED9CC7">
            <w:pPr>
              <w:rPr>
                <w:rFonts w:hint="default" w:ascii="Arial" w:eastAsia="宋体"/>
                <w:sz w:val="21"/>
                <w:lang w:val="en-US" w:eastAsia="zh-CN"/>
              </w:rPr>
            </w:pPr>
            <w:r>
              <w:rPr>
                <w:rFonts w:hint="eastAsia" w:ascii="Arial"/>
                <w:sz w:val="21"/>
                <w:lang w:val="en-US" w:eastAsia="zh-CN"/>
              </w:rPr>
              <w:t>100%</w:t>
            </w:r>
          </w:p>
        </w:tc>
        <w:tc>
          <w:tcPr>
            <w:tcW w:w="1318" w:type="dxa"/>
            <w:gridSpan w:val="2"/>
            <w:noWrap w:val="0"/>
            <w:vAlign w:val="top"/>
          </w:tcPr>
          <w:p w14:paraId="381C67CC">
            <w:pPr>
              <w:rPr>
                <w:rFonts w:ascii="Arial"/>
                <w:sz w:val="21"/>
              </w:rPr>
            </w:pPr>
            <w:r>
              <w:rPr>
                <w:rFonts w:hint="eastAsia" w:ascii="Arial"/>
                <w:sz w:val="21"/>
                <w:lang w:val="en-US" w:eastAsia="zh-CN"/>
              </w:rPr>
              <w:t>100%</w:t>
            </w:r>
          </w:p>
        </w:tc>
        <w:tc>
          <w:tcPr>
            <w:tcW w:w="884" w:type="dxa"/>
            <w:noWrap w:val="0"/>
            <w:vAlign w:val="top"/>
          </w:tcPr>
          <w:p w14:paraId="64BC6E07">
            <w:pPr>
              <w:rPr>
                <w:rFonts w:hint="default" w:ascii="Arial" w:eastAsia="宋体"/>
                <w:sz w:val="21"/>
                <w:lang w:val="en-US" w:eastAsia="zh-CN"/>
              </w:rPr>
            </w:pPr>
            <w:r>
              <w:rPr>
                <w:rFonts w:hint="eastAsia" w:ascii="Arial"/>
                <w:sz w:val="21"/>
                <w:lang w:val="en-US" w:eastAsia="zh-CN"/>
              </w:rPr>
              <w:t>20</w:t>
            </w:r>
          </w:p>
        </w:tc>
      </w:tr>
      <w:tr w14:paraId="7C151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EE8FE20">
            <w:pPr>
              <w:rPr>
                <w:rFonts w:ascii="Arial"/>
                <w:sz w:val="21"/>
              </w:rPr>
            </w:pPr>
          </w:p>
        </w:tc>
        <w:tc>
          <w:tcPr>
            <w:tcW w:w="689" w:type="dxa"/>
            <w:vMerge w:val="continue"/>
            <w:tcBorders>
              <w:top w:val="nil"/>
              <w:bottom w:val="nil"/>
            </w:tcBorders>
            <w:noWrap w:val="0"/>
            <w:vAlign w:val="top"/>
          </w:tcPr>
          <w:p w14:paraId="3534E699">
            <w:pPr>
              <w:jc w:val="center"/>
              <w:rPr>
                <w:rFonts w:ascii="Calibri" w:hAnsi="Calibri" w:eastAsia="宋体" w:cs="Times New Roman"/>
                <w:b/>
                <w:bCs/>
              </w:rPr>
            </w:pPr>
          </w:p>
        </w:tc>
        <w:tc>
          <w:tcPr>
            <w:tcW w:w="1119" w:type="dxa"/>
            <w:noWrap w:val="0"/>
            <w:vAlign w:val="top"/>
          </w:tcPr>
          <w:p w14:paraId="17D0A498">
            <w:pPr>
              <w:spacing w:before="177" w:line="342" w:lineRule="exact"/>
              <w:rPr>
                <w:rFonts w:ascii="宋体" w:hAnsi="宋体" w:eastAsia="宋体" w:cs="宋体"/>
                <w:sz w:val="22"/>
                <w:szCs w:val="22"/>
              </w:rPr>
            </w:pPr>
            <w:r>
              <w:rPr>
                <w:rFonts w:hint="eastAsia" w:ascii="宋体" w:hAnsi="宋体" w:eastAsia="宋体" w:cs="宋体"/>
                <w:spacing w:val="-6"/>
                <w:position w:val="2"/>
                <w:sz w:val="22"/>
                <w:szCs w:val="22"/>
              </w:rPr>
              <w:t>社会效益指标</w:t>
            </w:r>
          </w:p>
        </w:tc>
        <w:tc>
          <w:tcPr>
            <w:tcW w:w="2647" w:type="dxa"/>
            <w:gridSpan w:val="3"/>
            <w:noWrap w:val="0"/>
            <w:vAlign w:val="top"/>
          </w:tcPr>
          <w:p w14:paraId="55911662">
            <w:pPr>
              <w:rPr>
                <w:rFonts w:hint="eastAsia" w:ascii="Arial" w:eastAsia="宋体"/>
                <w:sz w:val="21"/>
                <w:lang w:eastAsia="zh-CN"/>
              </w:rPr>
            </w:pPr>
            <w:r>
              <w:rPr>
                <w:rFonts w:hint="eastAsia" w:ascii="Arial"/>
                <w:sz w:val="21"/>
              </w:rPr>
              <w:t>通过引进项目带动人才流入，围绕现代服务业招商，提经济，抓收入，惠民生</w:t>
            </w:r>
            <w:r>
              <w:rPr>
                <w:rFonts w:hint="eastAsia" w:ascii="Arial"/>
                <w:sz w:val="21"/>
                <w:lang w:eastAsia="zh-CN"/>
              </w:rPr>
              <w:t>。</w:t>
            </w:r>
          </w:p>
        </w:tc>
        <w:tc>
          <w:tcPr>
            <w:tcW w:w="1458" w:type="dxa"/>
            <w:noWrap w:val="0"/>
            <w:vAlign w:val="top"/>
          </w:tcPr>
          <w:p w14:paraId="4FE93457">
            <w:pPr>
              <w:rPr>
                <w:rFonts w:hint="default" w:ascii="Arial" w:eastAsia="宋体"/>
                <w:sz w:val="21"/>
                <w:lang w:val="en-US" w:eastAsia="zh-CN"/>
              </w:rPr>
            </w:pPr>
            <w:r>
              <w:rPr>
                <w:rFonts w:hint="eastAsia" w:ascii="Arial"/>
                <w:sz w:val="21"/>
                <w:lang w:val="en-US" w:eastAsia="zh-CN"/>
              </w:rPr>
              <w:t>100%</w:t>
            </w:r>
          </w:p>
        </w:tc>
        <w:tc>
          <w:tcPr>
            <w:tcW w:w="1318" w:type="dxa"/>
            <w:gridSpan w:val="2"/>
            <w:noWrap w:val="0"/>
            <w:vAlign w:val="top"/>
          </w:tcPr>
          <w:p w14:paraId="5435A2EF">
            <w:pPr>
              <w:rPr>
                <w:rFonts w:ascii="Arial"/>
                <w:sz w:val="21"/>
              </w:rPr>
            </w:pPr>
            <w:r>
              <w:rPr>
                <w:rFonts w:hint="eastAsia" w:ascii="Arial"/>
                <w:sz w:val="21"/>
                <w:lang w:val="en-US" w:eastAsia="zh-CN"/>
              </w:rPr>
              <w:t>100%</w:t>
            </w:r>
          </w:p>
        </w:tc>
        <w:tc>
          <w:tcPr>
            <w:tcW w:w="884" w:type="dxa"/>
            <w:noWrap w:val="0"/>
            <w:vAlign w:val="top"/>
          </w:tcPr>
          <w:p w14:paraId="64B0C4D4">
            <w:pPr>
              <w:rPr>
                <w:rFonts w:hint="default" w:ascii="Arial" w:eastAsia="宋体"/>
                <w:sz w:val="21"/>
                <w:lang w:val="en-US" w:eastAsia="zh-CN"/>
              </w:rPr>
            </w:pPr>
            <w:r>
              <w:rPr>
                <w:rFonts w:hint="eastAsia" w:ascii="Arial"/>
                <w:sz w:val="21"/>
                <w:lang w:val="en-US" w:eastAsia="zh-CN"/>
              </w:rPr>
              <w:t>10</w:t>
            </w:r>
          </w:p>
        </w:tc>
      </w:tr>
      <w:tr w14:paraId="3A12D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7B300994">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9"/>
            <w:noWrap w:val="0"/>
            <w:vAlign w:val="top"/>
          </w:tcPr>
          <w:p w14:paraId="5CFDF452">
            <w:pPr>
              <w:jc w:val="center"/>
              <w:rPr>
                <w:rFonts w:hint="default" w:ascii="Arial" w:eastAsia="宋体"/>
                <w:sz w:val="21"/>
                <w:lang w:val="en-US" w:eastAsia="zh-CN"/>
              </w:rPr>
            </w:pPr>
            <w:r>
              <w:rPr>
                <w:rFonts w:hint="eastAsia" w:ascii="Arial"/>
                <w:sz w:val="21"/>
                <w:lang w:val="en-US" w:eastAsia="zh-CN"/>
              </w:rPr>
              <w:t>95</w:t>
            </w:r>
          </w:p>
        </w:tc>
      </w:tr>
    </w:tbl>
    <w:tbl>
      <w:tblPr>
        <w:tblStyle w:val="13"/>
        <w:tblpPr w:leftFromText="180" w:rightFromText="180" w:vertAnchor="text" w:horzAnchor="page" w:tblpX="1520" w:tblpY="196"/>
        <w:tblOverlap w:val="never"/>
        <w:tblW w:w="89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3"/>
        <w:gridCol w:w="7406"/>
      </w:tblGrid>
      <w:tr w14:paraId="02576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1523" w:type="dxa"/>
            <w:noWrap w:val="0"/>
            <w:vAlign w:val="top"/>
          </w:tcPr>
          <w:p w14:paraId="552EB4DC">
            <w:pPr>
              <w:jc w:val="both"/>
              <w:rPr>
                <w:rFonts w:ascii="宋体" w:hAnsi="宋体" w:eastAsia="宋体" w:cs="宋体"/>
                <w:b w:val="0"/>
                <w:bCs w:val="0"/>
                <w:sz w:val="21"/>
                <w:szCs w:val="21"/>
              </w:rPr>
            </w:pPr>
            <w:r>
              <w:rPr>
                <w:b w:val="0"/>
                <w:bCs w:val="0"/>
                <w:sz w:val="21"/>
                <w:szCs w:val="21"/>
              </w:rPr>
              <w:t>偏差大或目标未完成原因分析</w:t>
            </w:r>
          </w:p>
        </w:tc>
        <w:tc>
          <w:tcPr>
            <w:tcW w:w="7406" w:type="dxa"/>
            <w:noWrap w:val="0"/>
            <w:vAlign w:val="top"/>
          </w:tcPr>
          <w:p w14:paraId="0E974031">
            <w:pPr>
              <w:jc w:val="center"/>
              <w:rPr>
                <w:rFonts w:hint="eastAsia" w:ascii="Arial" w:eastAsiaTheme="minorEastAsia"/>
                <w:sz w:val="21"/>
                <w:lang w:eastAsia="zh-CN"/>
              </w:rPr>
            </w:pPr>
            <w:r>
              <w:rPr>
                <w:rFonts w:hint="eastAsia" w:ascii="Arial"/>
                <w:sz w:val="21"/>
                <w:lang w:eastAsia="zh-CN"/>
              </w:rPr>
              <w:t>无</w:t>
            </w:r>
          </w:p>
        </w:tc>
      </w:tr>
      <w:tr w14:paraId="03473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1523" w:type="dxa"/>
            <w:noWrap w:val="0"/>
            <w:vAlign w:val="top"/>
          </w:tcPr>
          <w:p w14:paraId="0C886DA8">
            <w:pPr>
              <w:spacing w:before="65" w:line="267" w:lineRule="auto"/>
              <w:ind w:right="147"/>
              <w:jc w:val="left"/>
              <w:rPr>
                <w:rFonts w:ascii="宋体" w:hAnsi="宋体" w:eastAsia="宋体" w:cs="宋体"/>
                <w:b w:val="0"/>
                <w:bCs w:val="0"/>
                <w:sz w:val="21"/>
                <w:szCs w:val="21"/>
              </w:rPr>
            </w:pPr>
            <w:r>
              <w:rPr>
                <w:b w:val="0"/>
                <w:bCs w:val="0"/>
                <w:sz w:val="21"/>
                <w:szCs w:val="21"/>
              </w:rPr>
              <w:t>改进措施及结果应用方案</w:t>
            </w:r>
          </w:p>
        </w:tc>
        <w:tc>
          <w:tcPr>
            <w:tcW w:w="7406" w:type="dxa"/>
            <w:noWrap w:val="0"/>
            <w:vAlign w:val="top"/>
          </w:tcPr>
          <w:p w14:paraId="7EF04B2C">
            <w:pPr>
              <w:jc w:val="center"/>
              <w:rPr>
                <w:rFonts w:hint="eastAsia" w:ascii="Arial" w:eastAsiaTheme="minorEastAsia"/>
                <w:sz w:val="21"/>
                <w:lang w:eastAsia="zh-CN"/>
              </w:rPr>
            </w:pPr>
            <w:r>
              <w:rPr>
                <w:rFonts w:hint="eastAsia" w:ascii="Arial"/>
                <w:sz w:val="21"/>
                <w:lang w:eastAsia="zh-CN"/>
              </w:rPr>
              <w:t>无</w:t>
            </w:r>
          </w:p>
        </w:tc>
      </w:tr>
    </w:tbl>
    <w:p w14:paraId="244A5742">
      <w:pP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br w:type="textWrapping"/>
      </w:r>
      <w:r>
        <w:rPr>
          <w:rFonts w:hint="eastAsia" w:ascii="宋体" w:hAnsi="宋体" w:eastAsia="宋体" w:cs="宋体"/>
          <w:kern w:val="0"/>
          <w:sz w:val="28"/>
          <w:szCs w:val="28"/>
          <w:lang w:val="en-US" w:eastAsia="zh-CN"/>
        </w:rPr>
        <w:t>（三）绩效评级结果应用情况</w:t>
      </w:r>
      <w:r>
        <w:rPr>
          <w:rFonts w:hint="eastAsia" w:ascii="宋体" w:hAnsi="宋体" w:eastAsia="宋体" w:cs="宋体"/>
          <w:kern w:val="0"/>
          <w:sz w:val="28"/>
          <w:szCs w:val="28"/>
          <w:lang w:val="en-US" w:eastAsia="zh-CN"/>
        </w:rPr>
        <w:br w:type="textWrapping"/>
      </w:r>
      <w:r>
        <w:rPr>
          <w:rFonts w:hint="eastAsia" w:ascii="宋体" w:hAnsi="宋体" w:eastAsia="宋体" w:cs="宋体"/>
          <w:kern w:val="0"/>
          <w:sz w:val="28"/>
          <w:szCs w:val="28"/>
          <w:lang w:val="en-US" w:eastAsia="zh-CN"/>
        </w:rPr>
        <w:t>  区招商中心将建立评价结果和预算安排有机结合的机制，将上一年度绩效自评结果作为安排2023年度预算的基本依据，评价结果差的，调减该项目预算，评价结果好的，优先安排，并予以适当激励。  </w:t>
      </w:r>
    </w:p>
    <w:p w14:paraId="7447E7CB">
      <w:pPr>
        <w:spacing w:line="560" w:lineRule="exact"/>
        <w:ind w:firstLine="640"/>
        <w:rPr>
          <w:rFonts w:hint="eastAsia" w:ascii="楷体" w:hAnsi="楷体" w:eastAsia="楷体" w:cs="楷体"/>
          <w:b w:val="0"/>
          <w:bCs w:val="0"/>
          <w:color w:val="FF0000"/>
          <w:sz w:val="32"/>
          <w:szCs w:val="32"/>
          <w:highlight w:val="none"/>
          <w:u w:val="none"/>
          <w:lang w:val="en-US" w:eastAsia="zh-CN"/>
        </w:rPr>
      </w:pPr>
      <w:r>
        <w:rPr>
          <w:rFonts w:hint="eastAsia" w:ascii="宋体" w:hAnsi="宋体" w:eastAsia="宋体" w:cs="宋体"/>
          <w:b/>
          <w:bCs w:val="0"/>
          <w:sz w:val="28"/>
          <w:szCs w:val="28"/>
          <w:highlight w:val="none"/>
          <w:lang w:val="en-US" w:eastAsia="zh-CN"/>
        </w:rPr>
        <w:t>十四、专项支出、转移支付支出情况说明</w:t>
      </w:r>
      <w:r>
        <w:rPr>
          <w:rFonts w:hint="eastAsia" w:ascii="宋体" w:hAnsi="宋体" w:eastAsia="宋体" w:cs="宋体"/>
          <w:b/>
          <w:bCs w:val="0"/>
          <w:sz w:val="28"/>
          <w:szCs w:val="28"/>
          <w:highlight w:val="none"/>
          <w:lang w:val="en-US" w:eastAsia="zh-CN"/>
        </w:rPr>
        <w:br w:type="textWrapping"/>
      </w:r>
      <w:r>
        <w:rPr>
          <w:rFonts w:hint="eastAsia" w:ascii="楷体" w:hAnsi="楷体" w:eastAsia="楷体" w:cs="楷体"/>
          <w:b w:val="0"/>
          <w:bCs w:val="0"/>
          <w:color w:val="FF0000"/>
          <w:sz w:val="32"/>
          <w:szCs w:val="32"/>
          <w:highlight w:val="none"/>
          <w:u w:val="none"/>
          <w:lang w:val="en-US" w:eastAsia="zh-CN"/>
        </w:rPr>
        <w:t xml:space="preserve">   </w:t>
      </w:r>
      <w:r>
        <w:rPr>
          <w:rFonts w:hint="eastAsia" w:ascii="宋体" w:hAnsi="宋体" w:eastAsia="宋体" w:cs="宋体"/>
          <w:sz w:val="28"/>
          <w:szCs w:val="28"/>
          <w:lang w:val="en-US" w:eastAsia="zh-CN"/>
        </w:rPr>
        <w:t>下陆区招商服务中心无财政专项支出、无专项转移支付</w:t>
      </w:r>
      <w:r>
        <w:rPr>
          <w:rFonts w:hint="eastAsia" w:ascii="仿宋_GB2312" w:hAnsi="仿宋" w:eastAsia="仿宋_GB2312" w:cs="仿宋"/>
          <w:sz w:val="32"/>
          <w:szCs w:val="32"/>
          <w:lang w:val="en-US" w:eastAsia="zh-CN"/>
        </w:rPr>
        <w:t>。</w:t>
      </w:r>
    </w:p>
    <w:p w14:paraId="4737CDAD">
      <w:pPr>
        <w:spacing w:line="560" w:lineRule="exact"/>
        <w:ind w:firstLine="64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第四部分  名词解释</w:t>
      </w:r>
    </w:p>
    <w:p w14:paraId="009FD66F">
      <w:pPr>
        <w:shd w:val="clear" w:color="auto" w:fill="auto"/>
        <w:spacing w:line="560" w:lineRule="exact"/>
        <w:ind w:firstLine="640"/>
        <w:rPr>
          <w:rFonts w:hint="eastAsia" w:ascii="宋体" w:hAnsi="宋体" w:eastAsia="宋体" w:cs="宋体"/>
          <w:bCs/>
          <w:kern w:val="44"/>
          <w:sz w:val="28"/>
          <w:szCs w:val="28"/>
          <w:highlight w:val="none"/>
          <w:lang w:eastAsia="zh-CN"/>
        </w:rPr>
      </w:pPr>
      <w:r>
        <w:rPr>
          <w:rFonts w:hint="eastAsia" w:ascii="宋体" w:hAnsi="宋体" w:eastAsia="宋体" w:cs="宋体"/>
          <w:sz w:val="28"/>
          <w:szCs w:val="28"/>
        </w:rPr>
        <w:t>(一)一般公共预算财政拨款收入：指</w:t>
      </w:r>
      <w:r>
        <w:rPr>
          <w:rFonts w:hint="eastAsia" w:ascii="宋体" w:hAnsi="宋体" w:eastAsia="宋体" w:cs="宋体"/>
          <w:sz w:val="28"/>
          <w:szCs w:val="28"/>
          <w:lang w:eastAsia="zh-CN"/>
        </w:rPr>
        <w:t>省</w:t>
      </w:r>
      <w:r>
        <w:rPr>
          <w:rFonts w:hint="eastAsia" w:ascii="宋体" w:hAnsi="宋体" w:eastAsia="宋体" w:cs="宋体"/>
          <w:bCs/>
          <w:kern w:val="44"/>
          <w:sz w:val="28"/>
          <w:szCs w:val="28"/>
          <w:highlight w:val="none"/>
          <w:lang w:eastAsia="zh-CN"/>
        </w:rPr>
        <w:t>级</w:t>
      </w:r>
      <w:r>
        <w:rPr>
          <w:rFonts w:hint="eastAsia" w:ascii="宋体" w:hAnsi="宋体" w:eastAsia="宋体" w:cs="宋体"/>
          <w:bCs/>
          <w:kern w:val="44"/>
          <w:sz w:val="28"/>
          <w:szCs w:val="28"/>
          <w:highlight w:val="none"/>
        </w:rPr>
        <w:t>财政一般公共预算当年拨付的</w:t>
      </w:r>
      <w:r>
        <w:rPr>
          <w:rFonts w:hint="eastAsia" w:ascii="宋体" w:hAnsi="宋体" w:eastAsia="宋体" w:cs="宋体"/>
          <w:bCs/>
          <w:kern w:val="44"/>
          <w:sz w:val="28"/>
          <w:szCs w:val="28"/>
          <w:highlight w:val="none"/>
          <w:lang w:eastAsia="zh-CN"/>
        </w:rPr>
        <w:t>资金。</w:t>
      </w:r>
    </w:p>
    <w:p w14:paraId="5D535689">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二</w:t>
      </w:r>
      <w:r>
        <w:rPr>
          <w:rFonts w:hint="eastAsia" w:ascii="宋体" w:hAnsi="宋体" w:eastAsia="宋体" w:cs="宋体"/>
          <w:bCs/>
          <w:kern w:val="44"/>
          <w:sz w:val="28"/>
          <w:szCs w:val="28"/>
          <w:highlight w:val="none"/>
        </w:rPr>
        <w:t>)政府性基金预算财政拨款收入：指</w:t>
      </w:r>
      <w:r>
        <w:rPr>
          <w:rFonts w:hint="eastAsia" w:ascii="宋体" w:hAnsi="宋体" w:eastAsia="宋体" w:cs="宋体"/>
          <w:bCs/>
          <w:kern w:val="44"/>
          <w:sz w:val="28"/>
          <w:szCs w:val="28"/>
          <w:highlight w:val="none"/>
          <w:lang w:eastAsia="zh-CN"/>
        </w:rPr>
        <w:t>省级</w:t>
      </w:r>
      <w:r>
        <w:rPr>
          <w:rFonts w:hint="eastAsia" w:ascii="宋体" w:hAnsi="宋体" w:eastAsia="宋体" w:cs="宋体"/>
          <w:bCs/>
          <w:kern w:val="44"/>
          <w:sz w:val="28"/>
          <w:szCs w:val="28"/>
          <w:highlight w:val="none"/>
        </w:rPr>
        <w:t>财政政府性基金预算当年拨付的</w:t>
      </w:r>
      <w:r>
        <w:rPr>
          <w:rFonts w:hint="eastAsia" w:ascii="宋体" w:hAnsi="宋体" w:eastAsia="宋体" w:cs="宋体"/>
          <w:bCs/>
          <w:kern w:val="44"/>
          <w:sz w:val="28"/>
          <w:szCs w:val="28"/>
          <w:highlight w:val="none"/>
          <w:lang w:eastAsia="zh-CN"/>
        </w:rPr>
        <w:t>资金。</w:t>
      </w:r>
    </w:p>
    <w:p w14:paraId="6F38F443">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三</w:t>
      </w: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国有资本经营</w:t>
      </w:r>
      <w:r>
        <w:rPr>
          <w:rFonts w:hint="eastAsia" w:ascii="宋体" w:hAnsi="宋体" w:eastAsia="宋体" w:cs="宋体"/>
          <w:bCs/>
          <w:kern w:val="44"/>
          <w:sz w:val="28"/>
          <w:szCs w:val="28"/>
          <w:highlight w:val="none"/>
        </w:rPr>
        <w:t>预算财政拨款收入：指</w:t>
      </w:r>
      <w:r>
        <w:rPr>
          <w:rFonts w:hint="eastAsia" w:ascii="宋体" w:hAnsi="宋体" w:eastAsia="宋体" w:cs="宋体"/>
          <w:bCs/>
          <w:kern w:val="44"/>
          <w:sz w:val="28"/>
          <w:szCs w:val="28"/>
          <w:highlight w:val="none"/>
          <w:lang w:eastAsia="zh-CN"/>
        </w:rPr>
        <w:t>省</w:t>
      </w:r>
      <w:r>
        <w:rPr>
          <w:rFonts w:hint="eastAsia" w:ascii="宋体" w:hAnsi="宋体" w:eastAsia="宋体" w:cs="宋体"/>
          <w:bCs/>
          <w:kern w:val="44"/>
          <w:sz w:val="28"/>
          <w:szCs w:val="28"/>
          <w:highlight w:val="none"/>
        </w:rPr>
        <w:t>级财政</w:t>
      </w:r>
      <w:r>
        <w:rPr>
          <w:rFonts w:hint="eastAsia" w:ascii="宋体" w:hAnsi="宋体" w:eastAsia="宋体" w:cs="宋体"/>
          <w:bCs/>
          <w:kern w:val="44"/>
          <w:sz w:val="28"/>
          <w:szCs w:val="28"/>
          <w:highlight w:val="none"/>
          <w:lang w:eastAsia="zh-CN"/>
        </w:rPr>
        <w:t>国有资本经营</w:t>
      </w:r>
      <w:r>
        <w:rPr>
          <w:rFonts w:hint="eastAsia" w:ascii="宋体" w:hAnsi="宋体" w:eastAsia="宋体" w:cs="宋体"/>
          <w:bCs/>
          <w:kern w:val="44"/>
          <w:sz w:val="28"/>
          <w:szCs w:val="28"/>
          <w:highlight w:val="none"/>
        </w:rPr>
        <w:t>预算当年拨付的资金。</w:t>
      </w:r>
    </w:p>
    <w:p w14:paraId="43FD749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560" w:firstLineChars="200"/>
        <w:textAlignment w:val="auto"/>
        <w:outlineLvl w:val="9"/>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四</w:t>
      </w:r>
      <w:r>
        <w:rPr>
          <w:rFonts w:hint="eastAsia" w:ascii="宋体" w:hAnsi="宋体" w:eastAsia="宋体" w:cs="宋体"/>
          <w:bCs/>
          <w:kern w:val="44"/>
          <w:sz w:val="28"/>
          <w:szCs w:val="28"/>
          <w:highlight w:val="none"/>
        </w:rPr>
        <w:t>)上级补助收入：指从</w:t>
      </w:r>
      <w:r>
        <w:rPr>
          <w:rFonts w:hint="eastAsia" w:ascii="宋体" w:hAnsi="宋体" w:eastAsia="宋体" w:cs="宋体"/>
          <w:sz w:val="28"/>
          <w:szCs w:val="28"/>
          <w:highlight w:val="none"/>
        </w:rPr>
        <w:t>事业单位</w:t>
      </w:r>
      <w:r>
        <w:rPr>
          <w:rFonts w:hint="eastAsia" w:ascii="宋体" w:hAnsi="宋体" w:eastAsia="宋体" w:cs="宋体"/>
          <w:bCs/>
          <w:kern w:val="44"/>
          <w:sz w:val="28"/>
          <w:szCs w:val="28"/>
          <w:highlight w:val="none"/>
        </w:rPr>
        <w:t>主管部门和上级单位取得的非财政补助收入。</w:t>
      </w:r>
    </w:p>
    <w:p w14:paraId="06E7C8FB">
      <w:pPr>
        <w:pageBreakBefore w:val="0"/>
        <w:widowControl w:val="0"/>
        <w:shd w:val="clear" w:color="auto" w:fill="auto"/>
        <w:kinsoku/>
        <w:wordWrap/>
        <w:overflowPunct/>
        <w:topLinePunct w:val="0"/>
        <w:bidi w:val="0"/>
        <w:snapToGrid w:val="0"/>
        <w:spacing w:line="360" w:lineRule="auto"/>
        <w:ind w:firstLine="560" w:firstLineChars="200"/>
        <w:textAlignment w:val="auto"/>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五</w:t>
      </w:r>
      <w:r>
        <w:rPr>
          <w:rFonts w:hint="eastAsia" w:ascii="宋体" w:hAnsi="宋体" w:eastAsia="宋体" w:cs="宋体"/>
          <w:bCs/>
          <w:kern w:val="44"/>
          <w:sz w:val="28"/>
          <w:szCs w:val="28"/>
          <w:highlight w:val="none"/>
        </w:rPr>
        <w:t>)事业收入：指事业单位开展专业业务活动及其辅助活动取得的收入。</w:t>
      </w:r>
    </w:p>
    <w:p w14:paraId="2F2C6968">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六</w:t>
      </w:r>
      <w:r>
        <w:rPr>
          <w:rFonts w:hint="eastAsia" w:ascii="宋体" w:hAnsi="宋体" w:eastAsia="宋体" w:cs="宋体"/>
          <w:bCs/>
          <w:kern w:val="44"/>
          <w:sz w:val="28"/>
          <w:szCs w:val="28"/>
          <w:highlight w:val="none"/>
        </w:rPr>
        <w:t>)经营收入：指事业单位在专业业务活动及其辅助活动之外开展非独立核算经营活动取得的收入。</w:t>
      </w:r>
    </w:p>
    <w:p w14:paraId="3A3850FF">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hAnsi="宋体" w:eastAsia="仿宋_GB2312"/>
          <w:sz w:val="32"/>
          <w:szCs w:val="32"/>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七</w:t>
      </w:r>
      <w:r>
        <w:rPr>
          <w:rFonts w:hint="eastAsia" w:ascii="宋体" w:hAnsi="宋体" w:eastAsia="宋体" w:cs="宋体"/>
          <w:bCs/>
          <w:kern w:val="44"/>
          <w:sz w:val="28"/>
          <w:szCs w:val="28"/>
          <w:highlight w:val="none"/>
        </w:rPr>
        <w:t>)其他收入：指</w:t>
      </w:r>
      <w:r>
        <w:rPr>
          <w:rFonts w:hint="eastAsia" w:ascii="宋体" w:hAnsi="宋体" w:eastAsia="宋体" w:cs="宋体"/>
          <w:sz w:val="28"/>
          <w:szCs w:val="28"/>
          <w:highlight w:val="none"/>
        </w:rPr>
        <w:t>单位取得的除</w:t>
      </w:r>
      <w:r>
        <w:rPr>
          <w:rFonts w:hint="eastAsia" w:ascii="宋体" w:hAnsi="宋体" w:eastAsia="宋体" w:cs="宋体"/>
          <w:sz w:val="28"/>
          <w:szCs w:val="28"/>
          <w:highlight w:val="none"/>
          <w:lang w:eastAsia="zh-CN"/>
        </w:rPr>
        <w:t>上述“一般公共预算财政拨款收入”、等</w:t>
      </w:r>
      <w:r>
        <w:rPr>
          <w:rFonts w:hint="eastAsia" w:ascii="宋体" w:hAnsi="宋体" w:eastAsia="宋体" w:cs="宋体"/>
          <w:sz w:val="28"/>
          <w:szCs w:val="28"/>
          <w:highlight w:val="none"/>
        </w:rPr>
        <w:t>收入以外的各项收入</w:t>
      </w:r>
      <w:r>
        <w:rPr>
          <w:rFonts w:hint="eastAsia" w:ascii="宋体" w:hAnsi="宋体" w:eastAsia="宋体" w:cs="宋体"/>
          <w:sz w:val="28"/>
          <w:szCs w:val="28"/>
          <w:highlight w:val="none"/>
          <w:lang w:eastAsia="zh-CN"/>
        </w:rPr>
        <w:t>。</w:t>
      </w:r>
    </w:p>
    <w:p w14:paraId="7C3FC2FF">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lang w:eastAsia="zh-CN"/>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八</w:t>
      </w: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使用非财政拨款结余</w:t>
      </w:r>
      <w:r>
        <w:rPr>
          <w:rFonts w:hint="eastAsia" w:ascii="宋体" w:hAnsi="宋体" w:eastAsia="宋体" w:cs="宋体"/>
          <w:bCs/>
          <w:kern w:val="44"/>
          <w:sz w:val="28"/>
          <w:szCs w:val="28"/>
          <w:highlight w:val="none"/>
        </w:rPr>
        <w:t>：</w:t>
      </w:r>
      <w:r>
        <w:rPr>
          <w:rFonts w:hint="eastAsia" w:ascii="宋体" w:hAnsi="宋体" w:eastAsia="宋体" w:cs="宋体"/>
          <w:color w:val="000000"/>
          <w:sz w:val="28"/>
          <w:szCs w:val="28"/>
        </w:rPr>
        <w:t>指事业单位</w:t>
      </w:r>
      <w:r>
        <w:rPr>
          <w:rFonts w:hint="eastAsia" w:ascii="宋体" w:hAnsi="宋体" w:eastAsia="宋体" w:cs="宋体"/>
          <w:color w:val="000000"/>
          <w:sz w:val="28"/>
          <w:szCs w:val="28"/>
          <w:lang w:eastAsia="zh-CN"/>
        </w:rPr>
        <w:t>使用以前年度积累的非财政拨款结余弥补当年收支差额的金额。</w:t>
      </w:r>
    </w:p>
    <w:p w14:paraId="7103A402">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九</w:t>
      </w:r>
      <w:r>
        <w:rPr>
          <w:rFonts w:hint="eastAsia" w:ascii="宋体" w:hAnsi="宋体" w:eastAsia="宋体" w:cs="宋体"/>
          <w:bCs/>
          <w:kern w:val="44"/>
          <w:sz w:val="28"/>
          <w:szCs w:val="28"/>
          <w:highlight w:val="none"/>
        </w:rPr>
        <w:t>)年初结转和结余：</w:t>
      </w:r>
      <w:r>
        <w:rPr>
          <w:rFonts w:hint="eastAsia" w:ascii="宋体" w:hAnsi="宋体" w:eastAsia="宋体" w:cs="宋体"/>
          <w:color w:val="000000"/>
          <w:sz w:val="28"/>
          <w:szCs w:val="28"/>
        </w:rPr>
        <w:t>指</w:t>
      </w:r>
      <w:r>
        <w:rPr>
          <w:rFonts w:hint="eastAsia" w:ascii="宋体" w:hAnsi="宋体" w:eastAsia="宋体" w:cs="宋体"/>
          <w:color w:val="000000"/>
          <w:sz w:val="28"/>
          <w:szCs w:val="28"/>
          <w:lang w:eastAsia="zh-CN"/>
        </w:rPr>
        <w:t>单位</w:t>
      </w:r>
      <w:r>
        <w:rPr>
          <w:rFonts w:hint="eastAsia" w:ascii="宋体" w:hAnsi="宋体" w:eastAsia="宋体" w:cs="宋体"/>
          <w:color w:val="000000"/>
          <w:sz w:val="28"/>
          <w:szCs w:val="28"/>
        </w:rPr>
        <w:t>以前年度</w:t>
      </w:r>
      <w:r>
        <w:rPr>
          <w:rFonts w:hint="eastAsia" w:ascii="宋体" w:hAnsi="宋体" w:eastAsia="宋体" w:cs="宋体"/>
          <w:color w:val="000000"/>
          <w:sz w:val="28"/>
          <w:szCs w:val="28"/>
          <w:lang w:eastAsia="zh-CN"/>
        </w:rPr>
        <w:t>尚未完成</w:t>
      </w:r>
      <w:r>
        <w:rPr>
          <w:rFonts w:hint="eastAsia" w:ascii="宋体" w:hAnsi="宋体" w:eastAsia="宋体" w:cs="宋体"/>
          <w:color w:val="000000"/>
          <w:sz w:val="28"/>
          <w:szCs w:val="28"/>
        </w:rPr>
        <w:t>、结转到本年仍按原规定用途继续使用的资金</w:t>
      </w:r>
      <w:r>
        <w:rPr>
          <w:rFonts w:hint="eastAsia" w:ascii="宋体" w:hAnsi="宋体" w:eastAsia="宋体" w:cs="宋体"/>
          <w:color w:val="000000"/>
          <w:sz w:val="28"/>
          <w:szCs w:val="28"/>
          <w:lang w:eastAsia="zh-CN"/>
        </w:rPr>
        <w:t>，或项目已完成等产生的结余资金</w:t>
      </w:r>
      <w:r>
        <w:rPr>
          <w:rFonts w:hint="eastAsia" w:ascii="宋体" w:hAnsi="宋体" w:eastAsia="宋体" w:cs="宋体"/>
          <w:color w:val="000000"/>
          <w:sz w:val="28"/>
          <w:szCs w:val="28"/>
        </w:rPr>
        <w:t>。</w:t>
      </w:r>
    </w:p>
    <w:p w14:paraId="0FB755DD">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十</w:t>
      </w:r>
      <w:r>
        <w:rPr>
          <w:rFonts w:hint="eastAsia" w:ascii="宋体" w:hAnsi="宋体" w:eastAsia="宋体" w:cs="宋体"/>
          <w:bCs/>
          <w:kern w:val="44"/>
          <w:sz w:val="28"/>
          <w:szCs w:val="28"/>
          <w:highlight w:val="none"/>
        </w:rPr>
        <w:t>)本部门使用的支出功能分类科目(到项级)</w:t>
      </w:r>
    </w:p>
    <w:p w14:paraId="07395BFE">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kern w:val="44"/>
          <w:sz w:val="28"/>
          <w:szCs w:val="28"/>
          <w:highlight w:val="none"/>
          <w:u w:val="none"/>
        </w:rPr>
        <w:t>1.一般公共服务支出(类)</w:t>
      </w:r>
      <w:r>
        <w:rPr>
          <w:rFonts w:hint="eastAsia" w:ascii="宋体" w:hAnsi="宋体" w:eastAsia="宋体" w:cs="宋体"/>
          <w:bCs/>
          <w:kern w:val="44"/>
          <w:sz w:val="28"/>
          <w:szCs w:val="28"/>
          <w:highlight w:val="none"/>
          <w:u w:val="none"/>
          <w:lang w:eastAsia="zh-CN"/>
        </w:rPr>
        <w:t>商贸事务（款）招商引资（项）</w:t>
      </w:r>
      <w:r>
        <w:rPr>
          <w:rFonts w:hint="eastAsia" w:ascii="宋体" w:hAnsi="宋体" w:eastAsia="宋体" w:cs="宋体"/>
          <w:bCs/>
          <w:kern w:val="44"/>
          <w:sz w:val="28"/>
          <w:szCs w:val="28"/>
          <w:highlight w:val="none"/>
          <w:u w:val="none"/>
        </w:rPr>
        <w:t>。</w:t>
      </w:r>
    </w:p>
    <w:p w14:paraId="31696A10">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rPr>
        <w:t>2.</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商贸事务（款）事业运行（项）</w:t>
      </w:r>
      <w:r>
        <w:rPr>
          <w:rFonts w:hint="eastAsia" w:ascii="宋体" w:hAnsi="宋体" w:eastAsia="宋体" w:cs="宋体"/>
          <w:bCs/>
          <w:kern w:val="44"/>
          <w:sz w:val="28"/>
          <w:szCs w:val="28"/>
          <w:highlight w:val="none"/>
          <w:u w:val="none"/>
        </w:rPr>
        <w:t>。</w:t>
      </w:r>
    </w:p>
    <w:p w14:paraId="6E2F071A">
      <w:pPr>
        <w:pStyle w:val="14"/>
        <w:pageBreakBefore w:val="0"/>
        <w:widowControl w:val="0"/>
        <w:shd w:val="clear" w:color="auto" w:fill="auto"/>
        <w:kinsoku/>
        <w:wordWrap/>
        <w:overflowPunct/>
        <w:topLinePunct w:val="0"/>
        <w:bidi w:val="0"/>
        <w:snapToGrid w:val="0"/>
        <w:spacing w:line="360" w:lineRule="auto"/>
        <w:ind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bCs/>
          <w:color w:val="auto"/>
          <w:kern w:val="44"/>
          <w:sz w:val="28"/>
          <w:szCs w:val="28"/>
          <w:highlight w:val="none"/>
          <w:u w:val="none"/>
          <w:lang w:val="en-US" w:eastAsia="zh-CN"/>
        </w:rPr>
        <w:t>3</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科学技术支出(类)</w:t>
      </w:r>
      <w:r>
        <w:rPr>
          <w:rFonts w:hint="eastAsia" w:ascii="宋体" w:hAnsi="宋体" w:eastAsia="宋体" w:cs="宋体"/>
          <w:bCs/>
          <w:kern w:val="44"/>
          <w:sz w:val="28"/>
          <w:szCs w:val="28"/>
          <w:highlight w:val="none"/>
          <w:u w:val="none"/>
          <w:lang w:eastAsia="zh-CN"/>
        </w:rPr>
        <w:t>其他科学技术支出（款）科技奖励（项）</w:t>
      </w:r>
      <w:r>
        <w:rPr>
          <w:rFonts w:hint="eastAsia" w:ascii="宋体" w:hAnsi="宋体" w:eastAsia="宋体" w:cs="宋体"/>
          <w:bCs/>
          <w:kern w:val="44"/>
          <w:sz w:val="28"/>
          <w:szCs w:val="28"/>
          <w:highlight w:val="none"/>
          <w:u w:val="none"/>
        </w:rPr>
        <w:t>。</w:t>
      </w:r>
    </w:p>
    <w:p w14:paraId="4E1D0A42">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(十</w:t>
      </w:r>
      <w:r>
        <w:rPr>
          <w:rFonts w:hint="eastAsia" w:ascii="宋体" w:hAnsi="宋体" w:eastAsia="宋体" w:cs="宋体"/>
          <w:bCs/>
          <w:kern w:val="44"/>
          <w:sz w:val="28"/>
          <w:szCs w:val="28"/>
          <w:highlight w:val="none"/>
          <w:lang w:eastAsia="zh-CN"/>
        </w:rPr>
        <w:t>一</w:t>
      </w:r>
      <w:r>
        <w:rPr>
          <w:rFonts w:hint="eastAsia" w:ascii="宋体" w:hAnsi="宋体" w:eastAsia="宋体" w:cs="宋体"/>
          <w:bCs/>
          <w:kern w:val="44"/>
          <w:sz w:val="28"/>
          <w:szCs w:val="28"/>
          <w:highlight w:val="none"/>
        </w:rPr>
        <w:t>)结余分配：指事业单位按照会计制度规定缴纳</w:t>
      </w:r>
      <w:r>
        <w:rPr>
          <w:rFonts w:hint="eastAsia" w:ascii="宋体" w:hAnsi="宋体" w:eastAsia="宋体" w:cs="宋体"/>
          <w:bCs/>
          <w:kern w:val="44"/>
          <w:sz w:val="28"/>
          <w:szCs w:val="28"/>
          <w:highlight w:val="none"/>
          <w:lang w:eastAsia="zh-CN"/>
        </w:rPr>
        <w:t>的企业</w:t>
      </w:r>
      <w:r>
        <w:rPr>
          <w:rFonts w:hint="eastAsia" w:ascii="宋体" w:hAnsi="宋体" w:eastAsia="宋体" w:cs="宋体"/>
          <w:bCs/>
          <w:kern w:val="44"/>
          <w:sz w:val="28"/>
          <w:szCs w:val="28"/>
          <w:highlight w:val="none"/>
        </w:rPr>
        <w:t>所得税</w:t>
      </w:r>
      <w:r>
        <w:rPr>
          <w:rFonts w:hint="eastAsia" w:ascii="宋体" w:hAnsi="宋体" w:eastAsia="宋体" w:cs="宋体"/>
          <w:bCs/>
          <w:kern w:val="44"/>
          <w:sz w:val="28"/>
          <w:szCs w:val="28"/>
          <w:highlight w:val="none"/>
          <w:lang w:eastAsia="zh-CN"/>
        </w:rPr>
        <w:t>、提取的专用结余以及转入非财政拨款结余的金额</w:t>
      </w:r>
      <w:r>
        <w:rPr>
          <w:rFonts w:hint="eastAsia" w:ascii="宋体" w:hAnsi="宋体" w:eastAsia="宋体" w:cs="宋体"/>
          <w:bCs/>
          <w:kern w:val="44"/>
          <w:sz w:val="28"/>
          <w:szCs w:val="28"/>
          <w:highlight w:val="none"/>
        </w:rPr>
        <w:t>等。</w:t>
      </w:r>
    </w:p>
    <w:p w14:paraId="3DEC843E">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bCs/>
          <w:kern w:val="44"/>
          <w:sz w:val="28"/>
          <w:szCs w:val="28"/>
          <w:highlight w:val="none"/>
        </w:rPr>
        <w:t>(十</w:t>
      </w:r>
      <w:r>
        <w:rPr>
          <w:rFonts w:hint="eastAsia" w:ascii="宋体" w:hAnsi="宋体" w:eastAsia="宋体" w:cs="宋体"/>
          <w:bCs/>
          <w:kern w:val="44"/>
          <w:sz w:val="28"/>
          <w:szCs w:val="28"/>
          <w:highlight w:val="none"/>
          <w:lang w:eastAsia="zh-CN"/>
        </w:rPr>
        <w:t>二</w:t>
      </w:r>
      <w:r>
        <w:rPr>
          <w:rFonts w:hint="eastAsia" w:ascii="宋体" w:hAnsi="宋体" w:eastAsia="宋体" w:cs="宋体"/>
          <w:bCs/>
          <w:kern w:val="44"/>
          <w:sz w:val="28"/>
          <w:szCs w:val="28"/>
          <w:highlight w:val="none"/>
        </w:rPr>
        <w:t>)年末结转和结余：指单位</w:t>
      </w:r>
      <w:r>
        <w:rPr>
          <w:rFonts w:hint="eastAsia" w:ascii="宋体" w:hAnsi="宋体" w:eastAsia="宋体" w:cs="宋体"/>
          <w:bCs/>
          <w:kern w:val="44"/>
          <w:sz w:val="28"/>
          <w:szCs w:val="28"/>
          <w:highlight w:val="none"/>
          <w:lang w:eastAsia="zh-CN"/>
        </w:rPr>
        <w:t>按有关规定结转到下年或以后年度继续使用的资金</w:t>
      </w:r>
      <w:r>
        <w:rPr>
          <w:rFonts w:hint="eastAsia" w:ascii="宋体" w:hAnsi="宋体" w:eastAsia="宋体" w:cs="宋体"/>
          <w:bCs/>
          <w:kern w:val="44"/>
          <w:sz w:val="28"/>
          <w:szCs w:val="28"/>
          <w:highlight w:val="none"/>
        </w:rPr>
        <w:t>，或项目已完成等产生的结余资金。</w:t>
      </w:r>
    </w:p>
    <w:p w14:paraId="4D8BD1E2">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(十</w:t>
      </w:r>
      <w:r>
        <w:rPr>
          <w:rFonts w:hint="eastAsia" w:ascii="宋体" w:hAnsi="宋体" w:eastAsia="宋体" w:cs="宋体"/>
          <w:bCs/>
          <w:kern w:val="44"/>
          <w:sz w:val="28"/>
          <w:szCs w:val="28"/>
          <w:highlight w:val="none"/>
          <w:lang w:eastAsia="zh-CN"/>
        </w:rPr>
        <w:t>三</w:t>
      </w:r>
      <w:r>
        <w:rPr>
          <w:rFonts w:hint="eastAsia" w:ascii="宋体" w:hAnsi="宋体" w:eastAsia="宋体" w:cs="宋体"/>
          <w:bCs/>
          <w:kern w:val="44"/>
          <w:sz w:val="28"/>
          <w:szCs w:val="28"/>
          <w:highlight w:val="none"/>
        </w:rPr>
        <w:t>)基本支出：指为保障机构正常运转、完成日常工作任务而发生的人员支出和公用支出。</w:t>
      </w:r>
    </w:p>
    <w:p w14:paraId="2B98E340">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(十</w:t>
      </w:r>
      <w:r>
        <w:rPr>
          <w:rFonts w:hint="eastAsia" w:ascii="宋体" w:hAnsi="宋体" w:eastAsia="宋体" w:cs="宋体"/>
          <w:color w:val="000000"/>
          <w:sz w:val="28"/>
          <w:szCs w:val="28"/>
          <w:lang w:eastAsia="zh-CN"/>
        </w:rPr>
        <w:t>四</w:t>
      </w:r>
      <w:r>
        <w:rPr>
          <w:rFonts w:hint="eastAsia" w:ascii="宋体" w:hAnsi="宋体" w:eastAsia="宋体" w:cs="宋体"/>
          <w:color w:val="000000"/>
          <w:sz w:val="28"/>
          <w:szCs w:val="28"/>
        </w:rPr>
        <w:t>)项目支出：指在基本支出之外为完成特定行政任务或事业发展目标所发生的支出。</w:t>
      </w:r>
    </w:p>
    <w:p w14:paraId="2D85434B">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sz w:val="28"/>
          <w:szCs w:val="28"/>
          <w:highlight w:val="none"/>
        </w:rPr>
        <w:t>(十</w:t>
      </w:r>
      <w:r>
        <w:rPr>
          <w:rFonts w:hint="eastAsia" w:ascii="宋体" w:hAnsi="宋体" w:eastAsia="宋体" w:cs="宋体"/>
          <w:sz w:val="28"/>
          <w:szCs w:val="28"/>
          <w:highlight w:val="none"/>
          <w:lang w:eastAsia="zh-CN"/>
        </w:rPr>
        <w:t>五</w:t>
      </w:r>
      <w:r>
        <w:rPr>
          <w:rFonts w:hint="eastAsia" w:ascii="宋体" w:hAnsi="宋体" w:eastAsia="宋体" w:cs="宋体"/>
          <w:sz w:val="28"/>
          <w:szCs w:val="28"/>
          <w:highlight w:val="none"/>
        </w:rPr>
        <w:t>)</w:t>
      </w:r>
      <w:r>
        <w:rPr>
          <w:rFonts w:hint="eastAsia" w:ascii="宋体" w:hAnsi="宋体" w:eastAsia="宋体" w:cs="宋体"/>
          <w:bCs/>
          <w:kern w:val="44"/>
          <w:sz w:val="28"/>
          <w:szCs w:val="28"/>
          <w:highlight w:val="none"/>
        </w:rPr>
        <w:t>经营支出：指事业单位在专业活动及辅助活动之外开展非独立核算经营活动发生的支出。</w:t>
      </w:r>
    </w:p>
    <w:p w14:paraId="29710851">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sz w:val="28"/>
          <w:szCs w:val="28"/>
          <w:highlight w:val="yellow"/>
        </w:rPr>
      </w:pPr>
      <w:r>
        <w:rPr>
          <w:rFonts w:hint="eastAsia" w:ascii="宋体" w:hAnsi="宋体" w:eastAsia="宋体" w:cs="宋体"/>
          <w:sz w:val="28"/>
          <w:szCs w:val="28"/>
          <w:highlight w:val="none"/>
        </w:rPr>
        <w:t>(十</w:t>
      </w:r>
      <w:r>
        <w:rPr>
          <w:rFonts w:hint="eastAsia" w:ascii="宋体" w:hAnsi="宋体" w:eastAsia="宋体" w:cs="宋体"/>
          <w:sz w:val="28"/>
          <w:szCs w:val="28"/>
          <w:highlight w:val="none"/>
          <w:lang w:eastAsia="zh-CN"/>
        </w:rPr>
        <w:t>六</w:t>
      </w:r>
      <w:r>
        <w:rPr>
          <w:rFonts w:hint="eastAsia" w:ascii="宋体" w:hAnsi="宋体" w:eastAsia="宋体" w:cs="宋体"/>
          <w:sz w:val="28"/>
          <w:szCs w:val="28"/>
          <w:highlight w:val="none"/>
        </w:rPr>
        <w:t>)“三公”经费：</w:t>
      </w:r>
      <w:r>
        <w:rPr>
          <w:rFonts w:hint="eastAsia" w:ascii="宋体" w:hAnsi="宋体" w:eastAsia="宋体" w:cs="宋体"/>
          <w:sz w:val="28"/>
          <w:szCs w:val="28"/>
          <w:highlight w:val="none"/>
          <w:lang w:eastAsia="zh-CN"/>
        </w:rPr>
        <w:t>纳入省级财政预决算管理的</w:t>
      </w:r>
      <w:r>
        <w:rPr>
          <w:rFonts w:hint="eastAsia" w:ascii="宋体" w:hAnsi="宋体" w:eastAsia="宋体" w:cs="宋体"/>
          <w:sz w:val="28"/>
          <w:szCs w:val="28"/>
          <w:highlight w:val="none"/>
        </w:rPr>
        <w:t>“三公”经费</w:t>
      </w:r>
      <w:r>
        <w:rPr>
          <w:rFonts w:hint="eastAsia" w:ascii="宋体" w:hAnsi="宋体" w:eastAsia="宋体" w:cs="宋体"/>
          <w:sz w:val="28"/>
          <w:szCs w:val="28"/>
          <w:highlight w:val="none"/>
          <w:lang w:eastAsia="zh-CN"/>
        </w:rPr>
        <w:t>，是</w:t>
      </w:r>
      <w:r>
        <w:rPr>
          <w:rFonts w:hint="eastAsia" w:ascii="宋体" w:hAnsi="宋体" w:eastAsia="宋体" w:cs="宋体"/>
          <w:sz w:val="28"/>
          <w:szCs w:val="28"/>
          <w:highlight w:val="none"/>
        </w:rPr>
        <w:t>指</w:t>
      </w:r>
      <w:r>
        <w:rPr>
          <w:rFonts w:hint="eastAsia" w:ascii="宋体" w:hAnsi="宋体" w:eastAsia="宋体" w:cs="宋体"/>
          <w:sz w:val="28"/>
          <w:szCs w:val="28"/>
          <w:highlight w:val="none"/>
          <w:lang w:eastAsia="zh-CN"/>
        </w:rPr>
        <w:t>省直部门</w:t>
      </w:r>
      <w:r>
        <w:rPr>
          <w:rFonts w:hint="eastAsia" w:ascii="宋体" w:hAnsi="宋体" w:eastAsia="宋体" w:cs="宋体"/>
          <w:sz w:val="28"/>
          <w:szCs w:val="28"/>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w:t>
      </w:r>
      <w:r>
        <w:rPr>
          <w:rFonts w:hint="eastAsia" w:ascii="宋体" w:hAnsi="宋体" w:eastAsia="宋体" w:cs="宋体"/>
          <w:sz w:val="28"/>
          <w:szCs w:val="28"/>
          <w:highlight w:val="none"/>
          <w:lang w:eastAsia="zh-CN"/>
        </w:rPr>
        <w:t>、牌照费</w:t>
      </w:r>
      <w:r>
        <w:rPr>
          <w:rFonts w:hint="eastAsia" w:ascii="宋体" w:hAnsi="宋体" w:eastAsia="宋体" w:cs="宋体"/>
          <w:sz w:val="28"/>
          <w:szCs w:val="28"/>
          <w:highlight w:val="none"/>
        </w:rPr>
        <w:t>)及燃料费、维修费、过桥过路费、保险费、安全奖励费用等支出；公务接待费反映单位按规定开支的各类公务接待(含外宾接待)费用。</w:t>
      </w:r>
    </w:p>
    <w:p w14:paraId="16D7500B">
      <w:pPr>
        <w:pageBreakBefore w:val="0"/>
        <w:widowControl w:val="0"/>
        <w:shd w:val="clear" w:color="auto" w:fill="auto"/>
        <w:kinsoku/>
        <w:wordWrap/>
        <w:overflowPunct/>
        <w:topLinePunct w:val="0"/>
        <w:bidi w:val="0"/>
        <w:snapToGrid w:val="0"/>
        <w:spacing w:line="360" w:lineRule="auto"/>
        <w:ind w:firstLine="560" w:firstLineChars="200"/>
        <w:textAlignment w:val="auto"/>
        <w:rPr>
          <w:rFonts w:hint="eastAsia" w:ascii="宋体" w:hAnsi="宋体" w:eastAsia="宋体" w:cs="宋体"/>
          <w:sz w:val="28"/>
          <w:szCs w:val="28"/>
          <w:highlight w:val="yellow"/>
          <w:lang w:eastAsia="zh-CN"/>
        </w:rPr>
      </w:pPr>
      <w:r>
        <w:rPr>
          <w:rFonts w:hint="eastAsia" w:ascii="宋体" w:hAnsi="宋体" w:eastAsia="宋体" w:cs="宋体"/>
          <w:sz w:val="28"/>
          <w:szCs w:val="28"/>
          <w:highlight w:val="none"/>
        </w:rPr>
        <w:t>(十</w:t>
      </w:r>
      <w:r>
        <w:rPr>
          <w:rFonts w:hint="eastAsia" w:ascii="宋体" w:hAnsi="宋体" w:eastAsia="宋体" w:cs="宋体"/>
          <w:sz w:val="28"/>
          <w:szCs w:val="28"/>
          <w:highlight w:val="none"/>
          <w:lang w:eastAsia="zh-CN"/>
        </w:rPr>
        <w:t>七</w:t>
      </w:r>
      <w:r>
        <w:rPr>
          <w:rFonts w:hint="eastAsia" w:ascii="宋体" w:hAnsi="宋体" w:eastAsia="宋体" w:cs="宋体"/>
          <w:sz w:val="28"/>
          <w:szCs w:val="28"/>
          <w:highlight w:val="none"/>
        </w:rPr>
        <w:t>)机关运行经费：指为保障行政单位（</w:t>
      </w:r>
      <w:r>
        <w:rPr>
          <w:rFonts w:hint="eastAsia" w:ascii="宋体" w:hAnsi="宋体" w:eastAsia="宋体" w:cs="宋体"/>
          <w:sz w:val="28"/>
          <w:szCs w:val="28"/>
          <w:highlight w:val="none"/>
          <w:lang w:eastAsia="zh-CN"/>
        </w:rPr>
        <w:t>包括</w:t>
      </w:r>
      <w:r>
        <w:rPr>
          <w:rFonts w:hint="eastAsia" w:ascii="宋体" w:hAnsi="宋体" w:eastAsia="宋体" w:cs="宋体"/>
          <w:sz w:val="28"/>
          <w:szCs w:val="28"/>
          <w:highlight w:val="none"/>
        </w:rPr>
        <w:t>参照公务员法管理的事业单位）运行用于购买货物和服务的各项资金，包括办公</w:t>
      </w:r>
      <w:r>
        <w:rPr>
          <w:rFonts w:hint="eastAsia" w:ascii="宋体" w:hAnsi="宋体" w:eastAsia="宋体" w:cs="宋体"/>
          <w:sz w:val="28"/>
          <w:szCs w:val="28"/>
          <w:highlight w:val="none"/>
          <w:lang w:eastAsia="zh-CN"/>
        </w:rPr>
        <w:t>费、</w:t>
      </w:r>
      <w:r>
        <w:rPr>
          <w:rFonts w:hint="eastAsia" w:ascii="宋体" w:hAnsi="宋体" w:eastAsia="宋体" w:cs="宋体"/>
          <w:sz w:val="28"/>
          <w:szCs w:val="28"/>
          <w:highlight w:val="none"/>
        </w:rPr>
        <w:t>印刷费、邮电费、差旅费、会议费、福利费、日常维修费、专用材料及一般设备购置费、办公用房水电费、办公用房取暖费、办公用房物业管理费、公务用车运行维护费以及其他费用。</w:t>
      </w:r>
    </w:p>
    <w:p w14:paraId="53C9D033">
      <w:pPr>
        <w:rPr>
          <w:rFonts w:hint="eastAsia" w:ascii="宋体" w:hAnsi="宋体" w:eastAsia="宋体" w:cs="宋体"/>
          <w:kern w:val="0"/>
          <w:sz w:val="28"/>
          <w:szCs w:val="28"/>
          <w:lang w:val="en-US" w:eastAsia="zh-CN"/>
        </w:rPr>
      </w:pP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MTQ4ZTkzNTAxNWU1YTk2NDE3MThhODZkMjdhZGIifQ=="/>
  </w:docVars>
  <w:rsids>
    <w:rsidRoot w:val="68DF3428"/>
    <w:rsid w:val="002847FB"/>
    <w:rsid w:val="003A351D"/>
    <w:rsid w:val="005A7C86"/>
    <w:rsid w:val="00A37296"/>
    <w:rsid w:val="00F3298C"/>
    <w:rsid w:val="02201F96"/>
    <w:rsid w:val="03C936A4"/>
    <w:rsid w:val="06074A22"/>
    <w:rsid w:val="0BFA51A7"/>
    <w:rsid w:val="0DD061D0"/>
    <w:rsid w:val="10F41EDB"/>
    <w:rsid w:val="12D41B96"/>
    <w:rsid w:val="173A685C"/>
    <w:rsid w:val="1F462744"/>
    <w:rsid w:val="28EB1888"/>
    <w:rsid w:val="2938170A"/>
    <w:rsid w:val="2FB217C8"/>
    <w:rsid w:val="35364364"/>
    <w:rsid w:val="3CEF3F53"/>
    <w:rsid w:val="3E865939"/>
    <w:rsid w:val="3FD74F82"/>
    <w:rsid w:val="4A2B7FA9"/>
    <w:rsid w:val="4C670F8A"/>
    <w:rsid w:val="57955572"/>
    <w:rsid w:val="5F1E2C38"/>
    <w:rsid w:val="67A631D0"/>
    <w:rsid w:val="68DF3428"/>
    <w:rsid w:val="695560E4"/>
    <w:rsid w:val="6AA61863"/>
    <w:rsid w:val="73876B92"/>
    <w:rsid w:val="751C0289"/>
    <w:rsid w:val="75C633B0"/>
    <w:rsid w:val="763A2E55"/>
    <w:rsid w:val="76DA2897"/>
    <w:rsid w:val="D775C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6157</Words>
  <Characters>6756</Characters>
  <Lines>38</Lines>
  <Paragraphs>10</Paragraphs>
  <TotalTime>5</TotalTime>
  <ScaleCrop>false</ScaleCrop>
  <LinksUpToDate>false</LinksUpToDate>
  <CharactersWithSpaces>6861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2023-05-14T19:32:00Z</dcterms:created>
  <dc:creator>Administrator</dc:creator>
  <cp:lastModifiedBy>xlq</cp:lastModifiedBy>
  <dcterms:modified xsi:type="dcterms:W3CDTF">2026-08-11T15:31:31Z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FC2E0FDACDAC401A9CE68AB3021E48D0_11</vt:lpwstr>
  </property>
  <property fmtid="{D5CDD505-2E9C-101B-9397-08002B2CF9AE}" pid="4" name="KSOTemplateDocerSaveRecord">
    <vt:lpwstr>eyJoZGlkIjoiOTc4OTdhNTgyZmEzODBmNjY4YjAzM2FjZjRjYmE5ZDgiLCJ1c2VySWQiOiI1NTk0Mjk4NTAifQ==</vt:lpwstr>
  </property>
</Properties>
</file>