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32ED0">
      <w:pPr>
        <w:pStyle w:val="2"/>
        <w:widowControl/>
        <w:shd w:val="clear" w:color="auto" w:fill="FFFFFF"/>
        <w:spacing w:beforeAutospacing="0" w:afterAutospacing="0" w:line="600" w:lineRule="atLeast"/>
        <w:jc w:val="center"/>
        <w:rPr>
          <w:rFonts w:hint="default" w:ascii="Arial" w:hAnsi="Arial" w:cs="Arial"/>
          <w:color w:val="003366"/>
          <w:sz w:val="36"/>
          <w:szCs w:val="36"/>
        </w:rPr>
      </w:pPr>
      <w:r>
        <w:rPr>
          <w:rFonts w:hint="default" w:ascii="Arial" w:hAnsi="Arial" w:cs="Arial"/>
          <w:color w:val="auto"/>
          <w:sz w:val="36"/>
          <w:szCs w:val="36"/>
          <w:shd w:val="clear" w:color="auto" w:fill="FFFFFF"/>
        </w:rPr>
        <w:t>下陆区残联2021年决算公开</w:t>
      </w:r>
    </w:p>
    <w:p w14:paraId="4642DC36">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 w:val="30"/>
          <w:szCs w:val="30"/>
          <w:shd w:val="clear" w:color="auto" w:fill="FFFFFF"/>
        </w:rPr>
        <w:t>目 　　 录</w:t>
      </w:r>
    </w:p>
    <w:p w14:paraId="22BD254B">
      <w:pPr>
        <w:widowControl/>
        <w:shd w:val="clear" w:color="auto" w:fill="FFFFFF"/>
        <w:spacing w:before="300" w:line="420" w:lineRule="atLeast"/>
        <w:jc w:val="left"/>
        <w:rPr>
          <w:rFonts w:ascii="Arial" w:hAnsi="Arial" w:cs="Arial"/>
          <w:color w:val="000000"/>
          <w:szCs w:val="21"/>
        </w:rPr>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ascii="Arial" w:hAnsi="Arial" w:eastAsia="宋体" w:cs="Arial"/>
          <w:color w:val="000000"/>
          <w:kern w:val="0"/>
          <w:szCs w:val="21"/>
          <w:shd w:val="clear" w:color="auto" w:fill="FFFFFF"/>
        </w:rPr>
        <w:br w:type="textWrapping"/>
      </w:r>
      <w:r>
        <w:rPr>
          <w:rFonts w:hint="default" w:ascii="Arial" w:hAnsi="Arial" w:eastAsia="宋体" w:cs="Arial"/>
          <w:i w:val="0"/>
          <w:caps w:val="0"/>
          <w:color w:val="000000"/>
          <w:spacing w:val="0"/>
          <w:sz w:val="27"/>
          <w:szCs w:val="27"/>
          <w:shd w:val="clear" w:fill="FFFFFF"/>
        </w:rPr>
        <w:t> 一、部门主要职责</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 二、部门机构设置情况</w:t>
      </w:r>
      <w:r>
        <w:rPr>
          <w:rFonts w:hint="default" w:ascii="Arial" w:hAnsi="Arial" w:eastAsia="宋体" w:cs="Arial"/>
          <w:i w:val="0"/>
          <w:caps w:val="0"/>
          <w:color w:val="000000"/>
          <w:spacing w:val="0"/>
          <w:sz w:val="27"/>
          <w:szCs w:val="27"/>
          <w:shd w:val="clear" w:fill="FFFFFF"/>
        </w:rPr>
        <w:br w:type="textWrapping"/>
      </w:r>
      <w:r>
        <w:rPr>
          <w:rStyle w:val="8"/>
          <w:rFonts w:hint="eastAsia" w:ascii="宋体" w:hAnsi="宋体" w:eastAsia="宋体" w:cs="宋体"/>
          <w:color w:val="000000"/>
          <w:kern w:val="0"/>
          <w:sz w:val="28"/>
          <w:szCs w:val="28"/>
          <w:shd w:val="clear" w:color="auto" w:fill="FFFFFF"/>
        </w:rPr>
        <w:t>第二部分: 部门2021年部门决算表</w:t>
      </w:r>
      <w:r>
        <w:rPr>
          <w:rFonts w:ascii="Arial" w:hAnsi="Arial" w:eastAsia="宋体" w:cs="Arial"/>
          <w:color w:val="000000"/>
          <w:kern w:val="0"/>
          <w:szCs w:val="21"/>
          <w:shd w:val="clear" w:color="auto" w:fill="FFFFFF"/>
        </w:rPr>
        <w:br w:type="textWrapping"/>
      </w:r>
      <w:r>
        <w:rPr>
          <w:rFonts w:hint="default" w:ascii="Arial" w:hAnsi="Arial" w:eastAsia="宋体" w:cs="Arial"/>
          <w:i w:val="0"/>
          <w:caps w:val="0"/>
          <w:color w:val="000000"/>
          <w:spacing w:val="0"/>
          <w:sz w:val="27"/>
          <w:szCs w:val="27"/>
          <w:shd w:val="clear" w:fill="FFFFFF"/>
        </w:rPr>
        <w:t>一、收入支出决算总表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二、收入决算表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三、支出决算表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四、财政拨款收入支出决算总表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五、一般公共预算财政拨款支出决算表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六、一般公共预算财政拨款基本支出决算表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七、一般公共预算财政拨款“三公”经费支出决算表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八、政府性基金预算财政拨款收入支出决算表     </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九、国有资本经营预算财政拨款支出决算表</w:t>
      </w:r>
      <w:r>
        <w:rPr>
          <w:rFonts w:hint="default" w:ascii="Arial" w:hAnsi="Arial" w:eastAsia="宋体" w:cs="Arial"/>
          <w:i w:val="0"/>
          <w:caps w:val="0"/>
          <w:color w:val="000000"/>
          <w:spacing w:val="0"/>
          <w:sz w:val="27"/>
          <w:szCs w:val="27"/>
          <w:shd w:val="clear" w:fill="FFFFFF"/>
        </w:rPr>
        <w:br w:type="textWrapping"/>
      </w:r>
      <w:r>
        <w:rPr>
          <w:rStyle w:val="8"/>
          <w:rFonts w:hint="eastAsia" w:ascii="宋体" w:hAnsi="宋体" w:eastAsia="宋体" w:cs="宋体"/>
          <w:color w:val="000000"/>
          <w:kern w:val="0"/>
          <w:sz w:val="28"/>
          <w:szCs w:val="28"/>
          <w:shd w:val="clear" w:color="auto" w:fill="FFFFFF"/>
        </w:rPr>
        <w:t>第三部分：部门2021年部门决算情况说明</w:t>
      </w:r>
      <w:r>
        <w:rPr>
          <w:rFonts w:ascii="Arial" w:hAnsi="Arial" w:eastAsia="宋体" w:cs="Arial"/>
          <w:color w:val="000000"/>
          <w:kern w:val="0"/>
          <w:szCs w:val="21"/>
          <w:shd w:val="clear" w:color="auto" w:fill="FFFFFF"/>
        </w:rPr>
        <w:br w:type="textWrapping"/>
      </w:r>
      <w:r>
        <w:rPr>
          <w:rFonts w:hint="default" w:ascii="Arial" w:hAnsi="Arial" w:eastAsia="宋体" w:cs="Arial"/>
          <w:i w:val="0"/>
          <w:caps w:val="0"/>
          <w:color w:val="000000"/>
          <w:spacing w:val="0"/>
          <w:sz w:val="27"/>
          <w:szCs w:val="27"/>
          <w:shd w:val="clear" w:fill="FFFFFF"/>
        </w:rPr>
        <w:t>一、收支总体情况说明</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二、决算收入</w:t>
      </w:r>
      <w:r>
        <w:rPr>
          <w:rFonts w:hint="eastAsia" w:ascii="Arial" w:hAnsi="Arial" w:eastAsia="宋体" w:cs="Arial"/>
          <w:i w:val="0"/>
          <w:caps w:val="0"/>
          <w:color w:val="000000"/>
          <w:spacing w:val="0"/>
          <w:sz w:val="27"/>
          <w:szCs w:val="27"/>
          <w:shd w:val="clear" w:fill="FFFFFF"/>
        </w:rPr>
        <w:t>支出</w:t>
      </w:r>
      <w:r>
        <w:rPr>
          <w:rFonts w:hint="default" w:ascii="Arial" w:hAnsi="Arial" w:eastAsia="宋体" w:cs="Arial"/>
          <w:i w:val="0"/>
          <w:caps w:val="0"/>
          <w:color w:val="000000"/>
          <w:spacing w:val="0"/>
          <w:sz w:val="27"/>
          <w:szCs w:val="27"/>
          <w:shd w:val="clear" w:fill="FFFFFF"/>
        </w:rPr>
        <w:t>增减变化情况说明</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三、财政拨款收入支出决算情况说明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四</w:t>
      </w:r>
      <w:r>
        <w:rPr>
          <w:rFonts w:hint="default" w:ascii="Arial" w:hAnsi="Arial" w:eastAsia="宋体" w:cs="Arial"/>
          <w:i w:val="0"/>
          <w:caps w:val="0"/>
          <w:color w:val="000000"/>
          <w:spacing w:val="0"/>
          <w:sz w:val="27"/>
          <w:szCs w:val="27"/>
          <w:shd w:val="clear" w:fill="FFFFFF"/>
        </w:rPr>
        <w:t>、一般公共预算财政拨款支出决算情况说明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五</w:t>
      </w:r>
      <w:r>
        <w:rPr>
          <w:rFonts w:hint="default" w:ascii="Arial" w:hAnsi="Arial" w:eastAsia="宋体" w:cs="Arial"/>
          <w:i w:val="0"/>
          <w:caps w:val="0"/>
          <w:color w:val="000000"/>
          <w:spacing w:val="0"/>
          <w:sz w:val="27"/>
          <w:szCs w:val="27"/>
          <w:shd w:val="clear" w:fill="FFFFFF"/>
        </w:rPr>
        <w:t>、一般公共预算财政拨款基本支出决算情况说明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六</w:t>
      </w:r>
      <w:r>
        <w:rPr>
          <w:rFonts w:hint="default" w:ascii="Arial" w:hAnsi="Arial" w:eastAsia="宋体" w:cs="Arial"/>
          <w:i w:val="0"/>
          <w:caps w:val="0"/>
          <w:color w:val="000000"/>
          <w:spacing w:val="0"/>
          <w:sz w:val="27"/>
          <w:szCs w:val="27"/>
          <w:shd w:val="clear" w:fill="FFFFFF"/>
        </w:rPr>
        <w:t>、一般公共预算财政拨款“三公”经费支出决算情况说明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七</w:t>
      </w:r>
      <w:r>
        <w:rPr>
          <w:rFonts w:hint="default" w:ascii="Arial" w:hAnsi="Arial" w:eastAsia="宋体" w:cs="Arial"/>
          <w:i w:val="0"/>
          <w:caps w:val="0"/>
          <w:color w:val="000000"/>
          <w:spacing w:val="0"/>
          <w:sz w:val="27"/>
          <w:szCs w:val="27"/>
          <w:shd w:val="clear" w:fill="FFFFFF"/>
        </w:rPr>
        <w:t>、机关运行费执行情况说明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八</w:t>
      </w:r>
      <w:r>
        <w:rPr>
          <w:rFonts w:hint="default" w:ascii="Arial" w:hAnsi="Arial" w:eastAsia="宋体" w:cs="Arial"/>
          <w:i w:val="0"/>
          <w:caps w:val="0"/>
          <w:color w:val="000000"/>
          <w:spacing w:val="0"/>
          <w:sz w:val="27"/>
          <w:szCs w:val="27"/>
          <w:shd w:val="clear" w:fill="FFFFFF"/>
        </w:rPr>
        <w:t>、政府采购支出情况说明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rPr>
        <w:t>九</w:t>
      </w:r>
      <w:r>
        <w:rPr>
          <w:rFonts w:hint="default" w:ascii="Arial" w:hAnsi="Arial" w:eastAsia="宋体" w:cs="Arial"/>
          <w:i w:val="0"/>
          <w:caps w:val="0"/>
          <w:color w:val="000000"/>
          <w:spacing w:val="0"/>
          <w:sz w:val="27"/>
          <w:szCs w:val="27"/>
          <w:shd w:val="clear" w:fill="FFFFFF"/>
        </w:rPr>
        <w:t>、国有资产占用情况说明</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十、其他情况</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w:t>
      </w:r>
      <w:r>
        <w:rPr>
          <w:rFonts w:hint="eastAsia" w:ascii="Arial" w:hAnsi="Arial" w:eastAsia="宋体" w:cs="Arial"/>
          <w:i w:val="0"/>
          <w:caps w:val="0"/>
          <w:color w:val="000000"/>
          <w:spacing w:val="0"/>
          <w:sz w:val="27"/>
          <w:szCs w:val="27"/>
          <w:shd w:val="clear" w:fill="FFFFFF"/>
        </w:rPr>
        <w:t>一</w:t>
      </w:r>
      <w:r>
        <w:rPr>
          <w:rFonts w:hint="default" w:ascii="Arial" w:hAnsi="Arial" w:eastAsia="宋体" w:cs="Arial"/>
          <w:i w:val="0"/>
          <w:caps w:val="0"/>
          <w:color w:val="000000"/>
          <w:spacing w:val="0"/>
          <w:sz w:val="27"/>
          <w:szCs w:val="27"/>
          <w:shd w:val="clear" w:fill="FFFFFF"/>
        </w:rPr>
        <w:t>、预算绩效情况说明</w:t>
      </w:r>
      <w:r>
        <w:rPr>
          <w:rFonts w:hint="default" w:ascii="Arial" w:hAnsi="Arial" w:eastAsia="宋体" w:cs="Arial"/>
          <w:i w:val="0"/>
          <w:caps w:val="0"/>
          <w:color w:val="000000"/>
          <w:spacing w:val="0"/>
          <w:sz w:val="27"/>
          <w:szCs w:val="27"/>
          <w:shd w:val="clear" w:fill="FFFFFF"/>
        </w:rPr>
        <w:br w:type="textWrapping"/>
      </w:r>
      <w:r>
        <w:rPr>
          <w:rStyle w:val="8"/>
          <w:rFonts w:hint="eastAsia" w:ascii="宋体" w:hAnsi="宋体" w:eastAsia="宋体" w:cs="宋体"/>
          <w:color w:val="000000"/>
          <w:kern w:val="0"/>
          <w:sz w:val="28"/>
          <w:szCs w:val="28"/>
          <w:shd w:val="clear" w:color="auto" w:fill="FFFFFF"/>
        </w:rPr>
        <w:t>第四部分、名词解释</w:t>
      </w:r>
      <w:r>
        <w:rPr>
          <w:rFonts w:ascii="Arial" w:hAnsi="Arial" w:eastAsia="宋体" w:cs="Arial"/>
          <w:color w:val="000000"/>
          <w:kern w:val="0"/>
          <w:szCs w:val="21"/>
          <w:shd w:val="clear" w:color="auto" w:fill="FFFFFF"/>
        </w:rPr>
        <w:br w:type="textWrapping"/>
      </w:r>
      <w:r>
        <w:rPr>
          <w:rFonts w:ascii="Arial" w:hAnsi="Arial" w:eastAsia="宋体" w:cs="Arial"/>
          <w:color w:val="000000"/>
          <w:kern w:val="0"/>
          <w:szCs w:val="21"/>
          <w:shd w:val="clear" w:color="auto" w:fill="FFFFFF"/>
        </w:rPr>
        <w:t> </w:t>
      </w:r>
    </w:p>
    <w:p w14:paraId="7626D300">
      <w:pPr>
        <w:rPr>
          <w:rFonts w:ascii="Arial" w:hAnsi="Arial" w:eastAsia="宋体" w:cs="Arial"/>
          <w:color w:val="000000"/>
          <w:kern w:val="0"/>
          <w:szCs w:val="21"/>
          <w:shd w:val="clear" w:color="auto" w:fill="FFFFFF"/>
        </w:rPr>
      </w:pPr>
    </w:p>
    <w:p w14:paraId="235FBAAC">
      <w:pPr>
        <w:rPr>
          <w:rFonts w:ascii="Arial" w:hAnsi="Arial" w:eastAsia="宋体" w:cs="Arial"/>
          <w:color w:val="000000"/>
          <w:kern w:val="0"/>
          <w:szCs w:val="21"/>
          <w:shd w:val="clear" w:color="auto" w:fill="FFFFFF"/>
        </w:rPr>
      </w:pPr>
    </w:p>
    <w:p w14:paraId="2AB87133">
      <w:pPr>
        <w:keepNext w:val="0"/>
        <w:keepLines w:val="0"/>
        <w:widowControl/>
        <w:suppressLineNumbers w:val="0"/>
        <w:jc w:val="left"/>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ascii="Arial" w:hAnsi="Arial" w:eastAsia="宋体" w:cs="Arial"/>
          <w:color w:val="000000"/>
          <w:kern w:val="0"/>
          <w:szCs w:val="21"/>
          <w:shd w:val="clear" w:color="auto" w:fill="FFFFFF"/>
        </w:rPr>
        <w:br w:type="textWrapping"/>
      </w:r>
      <w:r>
        <w:rPr>
          <w:rFonts w:hint="default" w:ascii="Arial" w:hAnsi="Arial" w:eastAsia="宋体" w:cs="Arial"/>
          <w:i w:val="0"/>
          <w:caps w:val="0"/>
          <w:color w:val="000000"/>
          <w:spacing w:val="0"/>
          <w:sz w:val="27"/>
          <w:szCs w:val="27"/>
          <w:shd w:val="clear" w:fill="FFFFFF"/>
        </w:rPr>
        <w:t>一、部门主要职责</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1、准确调查、掌握残疾人的状况和需求，建档立卡。</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2、核发《中华人民共和国残疾人证》。</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3、密切联系残疾人，听取意见，反映要求，排忧解难。</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4、宣传、贯彻残疾人保障法和有关残疾人事业的法规，维护残疾人的合法权益。</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5、团结、教育残疾人，遵守法律，履行义务，乐观进取，自尊、自信、自强、自立。</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6、宣传残疾人事业，沟通政府与残疾人联系，动员社会理解、尊重、关心、帮助残疾人。</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7、协助政府研究、制定和实施残疾人事业的法规、政策和计划，优惠残疾人的措施，发展和管理残疾人事业。</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8、开展残疾人康复、教育、劳动就业、技能培训、社会保障、文化、体育等工作，促进残疾人“平等参与共享”。</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9、承办上级交办的其他事项。</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二、部门机构设置情况</w:t>
      </w:r>
      <w:r>
        <w:rPr>
          <w:rFonts w:ascii="Arial" w:hAnsi="Arial" w:eastAsia="宋体" w:cs="Arial"/>
          <w:color w:val="000000"/>
          <w:kern w:val="0"/>
          <w:szCs w:val="21"/>
          <w:shd w:val="clear" w:color="auto" w:fill="FFFFFF"/>
        </w:rPr>
        <w:br w:type="textWrapping"/>
      </w:r>
      <w:r>
        <w:rPr>
          <w:rFonts w:hint="default" w:ascii="Arial" w:hAnsi="Arial" w:eastAsia="宋体" w:cs="Arial"/>
          <w:i w:val="0"/>
          <w:caps w:val="0"/>
          <w:color w:val="000000"/>
          <w:spacing w:val="0"/>
          <w:sz w:val="27"/>
          <w:szCs w:val="27"/>
          <w:shd w:val="clear" w:fill="FFFFFF"/>
        </w:rPr>
        <w:t>1、机构设置情况：下陆区残疾人联合会只归属管理本级单位。</w:t>
      </w:r>
      <w:r>
        <w:rPr>
          <w:rFonts w:hint="eastAsia" w:ascii="Arial" w:hAnsi="Arial" w:eastAsia="宋体" w:cs="Arial"/>
          <w:i w:val="0"/>
          <w:caps w:val="0"/>
          <w:color w:val="000000"/>
          <w:spacing w:val="0"/>
          <w:sz w:val="27"/>
          <w:szCs w:val="27"/>
          <w:shd w:val="clear" w:fill="FFFFFF"/>
        </w:rPr>
        <w:t>本单位</w:t>
      </w:r>
      <w:r>
        <w:rPr>
          <w:rFonts w:hint="default" w:ascii="Arial" w:hAnsi="Arial" w:eastAsia="宋体" w:cs="Arial"/>
          <w:i w:val="0"/>
          <w:caps w:val="0"/>
          <w:color w:val="000000"/>
          <w:spacing w:val="0"/>
          <w:sz w:val="27"/>
          <w:szCs w:val="27"/>
          <w:shd w:val="clear" w:fill="FFFFFF"/>
        </w:rPr>
        <w:t>内</w:t>
      </w:r>
      <w:r>
        <w:rPr>
          <w:rFonts w:hint="eastAsia" w:ascii="Arial" w:hAnsi="Arial" w:eastAsia="宋体" w:cs="Arial"/>
          <w:i w:val="0"/>
          <w:caps w:val="0"/>
          <w:color w:val="000000"/>
          <w:spacing w:val="0"/>
          <w:sz w:val="27"/>
          <w:szCs w:val="27"/>
          <w:shd w:val="clear" w:fill="FFFFFF"/>
        </w:rPr>
        <w:t>设置</w:t>
      </w:r>
      <w:r>
        <w:rPr>
          <w:rFonts w:hint="default" w:ascii="Arial" w:hAnsi="Arial" w:eastAsia="宋体" w:cs="Arial"/>
          <w:i w:val="0"/>
          <w:caps w:val="0"/>
          <w:color w:val="000000"/>
          <w:spacing w:val="0"/>
          <w:sz w:val="27"/>
          <w:szCs w:val="27"/>
          <w:shd w:val="clear" w:fill="FFFFFF"/>
        </w:rPr>
        <w:t>办公室</w:t>
      </w:r>
      <w:r>
        <w:rPr>
          <w:rFonts w:hint="eastAsia" w:ascii="Arial" w:hAnsi="Arial" w:eastAsia="宋体" w:cs="Arial"/>
          <w:i w:val="0"/>
          <w:caps w:val="0"/>
          <w:color w:val="000000"/>
          <w:spacing w:val="0"/>
          <w:sz w:val="27"/>
          <w:szCs w:val="27"/>
          <w:shd w:val="clear" w:fill="FFFFFF"/>
        </w:rPr>
        <w:t>、综合科、</w:t>
      </w:r>
      <w:r>
        <w:rPr>
          <w:rFonts w:hint="default" w:ascii="Arial" w:hAnsi="Arial" w:eastAsia="宋体" w:cs="Arial"/>
          <w:i w:val="0"/>
          <w:caps w:val="0"/>
          <w:color w:val="000000"/>
          <w:spacing w:val="0"/>
          <w:sz w:val="27"/>
          <w:szCs w:val="27"/>
          <w:shd w:val="clear" w:fill="FFFFFF"/>
        </w:rPr>
        <w:t>财务室</w:t>
      </w:r>
      <w:r>
        <w:rPr>
          <w:rFonts w:hint="eastAsia" w:ascii="Arial" w:hAnsi="Arial" w:eastAsia="宋体" w:cs="Arial"/>
          <w:i w:val="0"/>
          <w:caps w:val="0"/>
          <w:color w:val="000000"/>
          <w:spacing w:val="0"/>
          <w:sz w:val="27"/>
          <w:szCs w:val="27"/>
          <w:shd w:val="clear" w:fill="FFFFFF"/>
        </w:rPr>
        <w:t>等内设科室</w:t>
      </w:r>
      <w:r>
        <w:rPr>
          <w:rFonts w:hint="default" w:ascii="Arial" w:hAnsi="Arial" w:eastAsia="宋体" w:cs="Arial"/>
          <w:i w:val="0"/>
          <w:caps w:val="0"/>
          <w:color w:val="000000"/>
          <w:spacing w:val="0"/>
          <w:sz w:val="27"/>
          <w:szCs w:val="27"/>
          <w:shd w:val="clear" w:fill="FFFFFF"/>
        </w:rPr>
        <w:t>。</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2、编制情况：下陆区残疾人联合会核定编制数为2名，其中行政编2名，事业编制0名。2021年年末在职在编人员3人，区聘0人，退伍安置0人，退休人员2人（已全部转入机关事业单位养老保险发放养老金）。</w:t>
      </w:r>
      <w:r>
        <w:rPr>
          <w:rFonts w:hint="default" w:ascii="Arial" w:hAnsi="Arial" w:eastAsia="宋体" w:cs="Arial"/>
          <w:i w:val="0"/>
          <w:caps w:val="0"/>
          <w:color w:val="000000"/>
          <w:spacing w:val="0"/>
          <w:sz w:val="27"/>
          <w:szCs w:val="27"/>
          <w:shd w:val="clear" w:fill="FFFFFF"/>
        </w:rPr>
        <w:br w:type="textWrapping"/>
      </w:r>
      <w:r>
        <w:rPr>
          <w:rStyle w:val="8"/>
          <w:rFonts w:hint="eastAsia" w:ascii="宋体" w:hAnsi="宋体" w:eastAsia="宋体" w:cs="宋体"/>
          <w:color w:val="000000"/>
          <w:kern w:val="0"/>
          <w:sz w:val="28"/>
          <w:szCs w:val="28"/>
          <w:shd w:val="clear" w:color="auto" w:fill="FFFFFF"/>
        </w:rPr>
        <w:t>第二部分: 部门2021年部门决算表</w:t>
      </w:r>
      <w:r>
        <w:rPr>
          <w:rStyle w:val="8"/>
          <w:rFonts w:ascii="Arial" w:hAnsi="Arial" w:eastAsia="宋体" w:cs="Arial"/>
          <w:color w:val="000000"/>
          <w:kern w:val="0"/>
          <w:szCs w:val="21"/>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760085" cy="6472555"/>
            <wp:effectExtent l="0" t="0" r="12065" b="444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5760085" cy="6472555"/>
                    </a:xfrm>
                    <a:prstGeom prst="rect">
                      <a:avLst/>
                    </a:prstGeom>
                    <a:noFill/>
                    <a:ln w="9525">
                      <a:noFill/>
                    </a:ln>
                  </pic:spPr>
                </pic:pic>
              </a:graphicData>
            </a:graphic>
          </wp:inline>
        </w:drawing>
      </w:r>
    </w:p>
    <w:p w14:paraId="3661B3E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905125"/>
            <wp:effectExtent l="0" t="0" r="12065" b="9525"/>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5"/>
                    <a:stretch>
                      <a:fillRect/>
                    </a:stretch>
                  </pic:blipFill>
                  <pic:spPr>
                    <a:xfrm>
                      <a:off x="0" y="0"/>
                      <a:ext cx="5760085" cy="2905125"/>
                    </a:xfrm>
                    <a:prstGeom prst="rect">
                      <a:avLst/>
                    </a:prstGeom>
                    <a:noFill/>
                    <a:ln w="9525">
                      <a:noFill/>
                    </a:ln>
                  </pic:spPr>
                </pic:pic>
              </a:graphicData>
            </a:graphic>
          </wp:inline>
        </w:drawing>
      </w:r>
    </w:p>
    <w:p w14:paraId="6991E0B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980690"/>
            <wp:effectExtent l="0" t="0" r="12065" b="10160"/>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6"/>
                    <a:stretch>
                      <a:fillRect/>
                    </a:stretch>
                  </pic:blipFill>
                  <pic:spPr>
                    <a:xfrm>
                      <a:off x="0" y="0"/>
                      <a:ext cx="5760085" cy="2980690"/>
                    </a:xfrm>
                    <a:prstGeom prst="rect">
                      <a:avLst/>
                    </a:prstGeom>
                    <a:noFill/>
                    <a:ln w="9525">
                      <a:noFill/>
                    </a:ln>
                  </pic:spPr>
                </pic:pic>
              </a:graphicData>
            </a:graphic>
          </wp:inline>
        </w:drawing>
      </w:r>
    </w:p>
    <w:p w14:paraId="2FC0310F">
      <w:pPr>
        <w:keepNext w:val="0"/>
        <w:keepLines w:val="0"/>
        <w:widowControl/>
        <w:suppressLineNumbers w:val="0"/>
        <w:jc w:val="left"/>
      </w:pPr>
      <w:r>
        <w:rPr>
          <w:rFonts w:hint="eastAsia"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5536565"/>
            <wp:effectExtent l="0" t="0" r="12065" b="6985"/>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7"/>
                    <a:stretch>
                      <a:fillRect/>
                    </a:stretch>
                  </pic:blipFill>
                  <pic:spPr>
                    <a:xfrm>
                      <a:off x="0" y="0"/>
                      <a:ext cx="5760085" cy="5536565"/>
                    </a:xfrm>
                    <a:prstGeom prst="rect">
                      <a:avLst/>
                    </a:prstGeom>
                    <a:noFill/>
                    <a:ln w="9525">
                      <a:noFill/>
                    </a:ln>
                  </pic:spPr>
                </pic:pic>
              </a:graphicData>
            </a:graphic>
          </wp:inline>
        </w:drawing>
      </w:r>
    </w:p>
    <w:p w14:paraId="50C29116">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639060"/>
            <wp:effectExtent l="0" t="0" r="12065" b="8890"/>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8"/>
                    <a:stretch>
                      <a:fillRect/>
                    </a:stretch>
                  </pic:blipFill>
                  <pic:spPr>
                    <a:xfrm>
                      <a:off x="0" y="0"/>
                      <a:ext cx="5760085" cy="2639060"/>
                    </a:xfrm>
                    <a:prstGeom prst="rect">
                      <a:avLst/>
                    </a:prstGeom>
                    <a:noFill/>
                    <a:ln w="9525">
                      <a:noFill/>
                    </a:ln>
                  </pic:spPr>
                </pic:pic>
              </a:graphicData>
            </a:graphic>
          </wp:inline>
        </w:drawing>
      </w:r>
    </w:p>
    <w:p w14:paraId="31FB8B4A">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4424680"/>
            <wp:effectExtent l="0" t="0" r="12065" b="13970"/>
            <wp:docPr id="1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6"/>
                    <pic:cNvPicPr>
                      <a:picLocks noChangeAspect="1"/>
                    </pic:cNvPicPr>
                  </pic:nvPicPr>
                  <pic:blipFill>
                    <a:blip r:embed="rId9"/>
                    <a:stretch>
                      <a:fillRect/>
                    </a:stretch>
                  </pic:blipFill>
                  <pic:spPr>
                    <a:xfrm>
                      <a:off x="0" y="0"/>
                      <a:ext cx="5760085" cy="4424680"/>
                    </a:xfrm>
                    <a:prstGeom prst="rect">
                      <a:avLst/>
                    </a:prstGeom>
                    <a:noFill/>
                    <a:ln w="9525">
                      <a:noFill/>
                    </a:ln>
                  </pic:spPr>
                </pic:pic>
              </a:graphicData>
            </a:graphic>
          </wp:inline>
        </w:drawing>
      </w:r>
    </w:p>
    <w:p w14:paraId="47418170">
      <w:pPr>
        <w:keepNext w:val="0"/>
        <w:keepLines w:val="0"/>
        <w:widowControl/>
        <w:suppressLineNumbers w:val="0"/>
        <w:jc w:val="left"/>
      </w:pPr>
      <w:r>
        <w:rPr>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548130"/>
            <wp:effectExtent l="0" t="0" r="12065" b="13970"/>
            <wp:docPr id="1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56"/>
                    <pic:cNvPicPr>
                      <a:picLocks noChangeAspect="1"/>
                    </pic:cNvPicPr>
                  </pic:nvPicPr>
                  <pic:blipFill>
                    <a:blip r:embed="rId10"/>
                    <a:stretch>
                      <a:fillRect/>
                    </a:stretch>
                  </pic:blipFill>
                  <pic:spPr>
                    <a:xfrm>
                      <a:off x="0" y="0"/>
                      <a:ext cx="5760085" cy="1548130"/>
                    </a:xfrm>
                    <a:prstGeom prst="rect">
                      <a:avLst/>
                    </a:prstGeom>
                    <a:noFill/>
                    <a:ln w="9525">
                      <a:noFill/>
                    </a:ln>
                  </pic:spPr>
                </pic:pic>
              </a:graphicData>
            </a:graphic>
          </wp:inline>
        </w:drawing>
      </w:r>
    </w:p>
    <w:p w14:paraId="2C724D76">
      <w:pPr>
        <w:keepNext w:val="0"/>
        <w:keepLines w:val="0"/>
        <w:widowControl/>
        <w:suppressLineNumbers w:val="0"/>
        <w:jc w:val="left"/>
      </w:pPr>
      <w:r>
        <w:rPr>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986915"/>
            <wp:effectExtent l="0" t="0" r="12065" b="13335"/>
            <wp:docPr id="1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56"/>
                    <pic:cNvPicPr>
                      <a:picLocks noChangeAspect="1"/>
                    </pic:cNvPicPr>
                  </pic:nvPicPr>
                  <pic:blipFill>
                    <a:blip r:embed="rId11"/>
                    <a:stretch>
                      <a:fillRect/>
                    </a:stretch>
                  </pic:blipFill>
                  <pic:spPr>
                    <a:xfrm>
                      <a:off x="0" y="0"/>
                      <a:ext cx="5760085" cy="1986915"/>
                    </a:xfrm>
                    <a:prstGeom prst="rect">
                      <a:avLst/>
                    </a:prstGeom>
                    <a:noFill/>
                    <a:ln w="9525">
                      <a:noFill/>
                    </a:ln>
                  </pic:spPr>
                </pic:pic>
              </a:graphicData>
            </a:graphic>
          </wp:inline>
        </w:drawing>
      </w:r>
    </w:p>
    <w:p w14:paraId="3BE724FD">
      <w:pPr>
        <w:rPr>
          <w:rFonts w:hint="default" w:ascii="Arial" w:hAnsi="Arial" w:eastAsia="宋体" w:cs="Arial"/>
          <w:i w:val="0"/>
          <w:caps w:val="0"/>
          <w:color w:val="000000"/>
          <w:spacing w:val="0"/>
          <w:sz w:val="21"/>
          <w:szCs w:val="21"/>
          <w:shd w:val="clear" w:fill="FFFFFF"/>
        </w:rPr>
      </w:pPr>
    </w:p>
    <w:p w14:paraId="21BD402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797175"/>
            <wp:effectExtent l="0" t="0" r="12065" b="3175"/>
            <wp:docPr id="1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56"/>
                    <pic:cNvPicPr>
                      <a:picLocks noChangeAspect="1"/>
                    </pic:cNvPicPr>
                  </pic:nvPicPr>
                  <pic:blipFill>
                    <a:blip r:embed="rId12"/>
                    <a:stretch>
                      <a:fillRect/>
                    </a:stretch>
                  </pic:blipFill>
                  <pic:spPr>
                    <a:xfrm>
                      <a:off x="0" y="0"/>
                      <a:ext cx="5760085" cy="2797175"/>
                    </a:xfrm>
                    <a:prstGeom prst="rect">
                      <a:avLst/>
                    </a:prstGeom>
                    <a:noFill/>
                    <a:ln w="9525">
                      <a:noFill/>
                    </a:ln>
                  </pic:spPr>
                </pic:pic>
              </a:graphicData>
            </a:graphic>
          </wp:inline>
        </w:drawing>
      </w:r>
    </w:p>
    <w:p w14:paraId="05B29B59">
      <w:pPr>
        <w:rPr>
          <w:rFonts w:hint="eastAsia" w:ascii="Arial" w:hAnsi="Arial" w:eastAsia="宋体" w:cs="Arial"/>
          <w:i w:val="0"/>
          <w:caps w:val="0"/>
          <w:color w:val="000000"/>
          <w:spacing w:val="0"/>
          <w:sz w:val="27"/>
          <w:szCs w:val="27"/>
          <w:shd w:val="clear" w:fill="FFFFFF"/>
          <w:lang w:val="en-US" w:eastAsia="zh-CN"/>
        </w:rPr>
      </w:pPr>
      <w:r>
        <w:rPr>
          <w:rStyle w:val="8"/>
          <w:rFonts w:ascii="Arial" w:hAnsi="Arial" w:eastAsia="宋体" w:cs="Arial"/>
          <w:color w:val="000000"/>
          <w:kern w:val="0"/>
          <w:szCs w:val="21"/>
          <w:shd w:val="clear" w:color="auto" w:fill="FFFFFF"/>
        </w:rPr>
        <w:br w:type="textWrapping"/>
      </w:r>
      <w:r>
        <w:rPr>
          <w:rStyle w:val="8"/>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第三部分：部门</w:t>
      </w:r>
      <w:r>
        <w:rPr>
          <w:rStyle w:val="8"/>
          <w:rFonts w:hint="default" w:ascii="宋体" w:hAnsi="宋体" w:eastAsia="宋体" w:cs="宋体"/>
          <w:color w:val="000000"/>
          <w:kern w:val="0"/>
          <w:sz w:val="28"/>
          <w:szCs w:val="28"/>
          <w:shd w:val="clear" w:color="auto" w:fill="FFFFFF"/>
        </w:rPr>
        <w:t>2021年部门决算情况说明</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一、收支总体情况说明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下陆区残疾人联合会2021年度决算总收入合计200.26万元，其中：财政拨款收入200.02万元，占本年收入的99.88%，其他收入0.24万元，占本年收入的0.12%；</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2021年度决算总支出合计302.52万元，其中：基本支出168.05万元，占总支出的55.55%；项目支出134.47元，占总支出的44.45%。</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二、2021年度决算收入支出增减变化情况</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下陆区残疾人联合会2021年度决算收入合计200.26万元，与上年决算数239.59万元减少39.33万元，主要原因是：2020年结余残疾人就业保障金102.26万元在2021年使用。与年初预算68.23相比，增加132.03万元，主要原因是：2020年结余残疾人就业保障金102.26万元在2021年使用。</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本单位2021年度支出302.52万元，与上年决算数184.74相比，增加117.78万元，主要原因是：2020年结余残疾人就业保障金在2021年使用。与年初预算68.23相比，增加234.29万元，主要原因是：2020年结余残疾人就业保障金在2021年使用，2021年度将残疾人保障金纳入财政拨款经费。</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三、2021年财政拨款收入支出决算情况说明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下陆区残疾人联合会2021年财政拨款收入总计200.02万元，年初结转结余0万元，其中：一般公共预算拨款200.02万元，年初结转结余0万元；</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2021年财政拨款支出总计200.02万元，</w:t>
      </w:r>
      <w:r>
        <w:rPr>
          <w:rFonts w:hint="eastAsia" w:ascii="Arial" w:hAnsi="Arial" w:eastAsia="宋体" w:cs="Arial"/>
          <w:i w:val="0"/>
          <w:caps w:val="0"/>
          <w:color w:val="000000"/>
          <w:spacing w:val="0"/>
          <w:sz w:val="27"/>
          <w:szCs w:val="27"/>
          <w:shd w:val="clear" w:fill="FFFFFF"/>
          <w:lang w:val="en-US" w:eastAsia="zh-CN"/>
        </w:rPr>
        <w:t>与</w:t>
      </w:r>
      <w:r>
        <w:rPr>
          <w:rFonts w:hint="default" w:ascii="Arial" w:hAnsi="Arial" w:eastAsia="宋体" w:cs="Arial"/>
          <w:i w:val="0"/>
          <w:caps w:val="0"/>
          <w:color w:val="000000"/>
          <w:spacing w:val="0"/>
          <w:sz w:val="27"/>
          <w:szCs w:val="27"/>
          <w:shd w:val="clear" w:fill="FFFFFF"/>
        </w:rPr>
        <w:t>年初预算数</w:t>
      </w:r>
      <w:r>
        <w:rPr>
          <w:rFonts w:hint="eastAsia" w:ascii="Arial" w:hAnsi="Arial" w:eastAsia="宋体" w:cs="Arial"/>
          <w:i w:val="0"/>
          <w:caps w:val="0"/>
          <w:color w:val="000000"/>
          <w:spacing w:val="0"/>
          <w:sz w:val="27"/>
          <w:szCs w:val="27"/>
          <w:shd w:val="clear" w:fill="FFFFFF"/>
          <w:lang w:val="en-US" w:eastAsia="zh-CN"/>
        </w:rPr>
        <w:t>68.23</w:t>
      </w:r>
      <w:r>
        <w:rPr>
          <w:rFonts w:hint="default" w:ascii="Arial" w:hAnsi="Arial" w:eastAsia="宋体" w:cs="Arial"/>
          <w:i w:val="0"/>
          <w:caps w:val="0"/>
          <w:color w:val="000000"/>
          <w:spacing w:val="0"/>
          <w:sz w:val="27"/>
          <w:szCs w:val="27"/>
          <w:shd w:val="clear" w:fill="FFFFFF"/>
        </w:rPr>
        <w:t>万元</w:t>
      </w:r>
      <w:r>
        <w:rPr>
          <w:rFonts w:hint="eastAsia" w:ascii="Arial" w:hAnsi="Arial" w:eastAsia="宋体" w:cs="Arial"/>
          <w:i w:val="0"/>
          <w:caps w:val="0"/>
          <w:color w:val="000000"/>
          <w:spacing w:val="0"/>
          <w:sz w:val="27"/>
          <w:szCs w:val="27"/>
          <w:shd w:val="clear" w:fill="FFFFFF"/>
          <w:lang w:val="en-US" w:eastAsia="zh-CN"/>
        </w:rPr>
        <w:t>相比增加131.79万元，原因是</w:t>
      </w:r>
      <w:r>
        <w:rPr>
          <w:rFonts w:hint="default" w:ascii="Arial" w:hAnsi="Arial" w:eastAsia="宋体" w:cs="Arial"/>
          <w:i w:val="0"/>
          <w:caps w:val="0"/>
          <w:color w:val="000000"/>
          <w:spacing w:val="0"/>
          <w:sz w:val="27"/>
          <w:szCs w:val="27"/>
          <w:shd w:val="clear" w:fill="FFFFFF"/>
        </w:rPr>
        <w:t>2021年度将残疾人保障金纳入财政拨款经费</w:t>
      </w:r>
      <w:r>
        <w:rPr>
          <w:rFonts w:hint="eastAsia" w:ascii="Arial" w:hAnsi="Arial" w:eastAsia="宋体" w:cs="Arial"/>
          <w:i w:val="0"/>
          <w:caps w:val="0"/>
          <w:color w:val="000000"/>
          <w:spacing w:val="0"/>
          <w:sz w:val="27"/>
          <w:szCs w:val="27"/>
          <w:shd w:val="clear" w:fill="FFFFFF"/>
          <w:lang w:val="en-US" w:eastAsia="zh-CN"/>
        </w:rPr>
        <w:t>，与上年决算数131万元相比增加69.02万元，原因是</w:t>
      </w:r>
      <w:r>
        <w:rPr>
          <w:rFonts w:hint="default" w:ascii="Arial" w:hAnsi="Arial" w:eastAsia="宋体" w:cs="Arial"/>
          <w:i w:val="0"/>
          <w:caps w:val="0"/>
          <w:color w:val="000000"/>
          <w:spacing w:val="0"/>
          <w:sz w:val="27"/>
          <w:szCs w:val="27"/>
          <w:shd w:val="clear" w:fill="FFFFFF"/>
        </w:rPr>
        <w:t>2020年结余残疾人就业保障金在2021年使用</w:t>
      </w:r>
      <w:r>
        <w:rPr>
          <w:rFonts w:hint="eastAsia" w:ascii="Arial" w:hAnsi="Arial" w:eastAsia="宋体" w:cs="Arial"/>
          <w:i w:val="0"/>
          <w:caps w:val="0"/>
          <w:color w:val="000000"/>
          <w:spacing w:val="0"/>
          <w:sz w:val="27"/>
          <w:szCs w:val="27"/>
          <w:shd w:val="clear" w:fill="FFFFFF"/>
          <w:lang w:eastAsia="zh-CN"/>
        </w:rPr>
        <w:t>。</w:t>
      </w:r>
      <w:r>
        <w:rPr>
          <w:rFonts w:hint="default" w:ascii="Arial" w:hAnsi="Arial" w:eastAsia="宋体" w:cs="Arial"/>
          <w:i w:val="0"/>
          <w:caps w:val="0"/>
          <w:color w:val="000000"/>
          <w:spacing w:val="0"/>
          <w:sz w:val="27"/>
          <w:szCs w:val="27"/>
          <w:shd w:val="clear" w:fill="FFFFFF"/>
        </w:rPr>
        <w:t>按支出性质分类：基本支出65.54万元，项目支出97.46万元，政府性基金支出37.02万元。年末财政拨款结转和结余0万元。其中：一般公共预算拨款200.02万元，年末财政拨款结转和结余0万元。</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四、2021年一般公共预算财政拨款支出决算情况说明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下陆区残疾人联合会2021年一般公共预算财政拨款支出年初预算数为68.23万元，年末支出决算数为163万元，较2020年决算数131万元增加32万元，其中：一般公共预算财政拨款增加32万元。</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按支出功能分类，社会保障和就业支出决算为163万元，较上年增加32万元，上涨24.43%。</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五、2021年一般公共预算财政拨款基本支出决算情况说明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下陆区残疾人联合会2021年一般公共预算财政拨款基本支出65.55万元，较上年支出71.74万元相比下降6.19万元，降幅8.63%。其中，人员经费支出54.32万元，较上年下降8.71万元，降幅13.82%。人员经费主要包括：基本工资、津贴补贴、奖金、社会保险缴费、离退休费、医疗费、住房公积金、职业年金、机关事业单位养老保险等支出。日常公用经费支出3.51万元，较上年下降0.46万元，降幅11.59%。日常公用经费主要包括：办公费、印刷费、水费、电费、邮电费、物业管理费、差旅费、因公出国（境）费、维修（护）费、租赁费、会议费、培训费、公务接待费、劳务费、工会经费、福利费、公车运行维护费、其他交通费、其他商品和服务支出、办公设备购置等。</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六、一般公共预算财政拨款“三公”经费支出决算情况说明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2021年度“三公”经费支出决算数为0万元，与2020年支出决算数0万元持平。</w:t>
      </w:r>
      <w:r>
        <w:rPr>
          <w:rFonts w:hint="eastAsia" w:ascii="Arial" w:hAnsi="Arial" w:eastAsia="宋体" w:cs="Arial"/>
          <w:i w:val="0"/>
          <w:caps w:val="0"/>
          <w:color w:val="000000"/>
          <w:spacing w:val="0"/>
          <w:sz w:val="27"/>
          <w:szCs w:val="27"/>
          <w:shd w:val="clear" w:fill="FFFFFF"/>
          <w:lang w:eastAsia="zh-CN"/>
        </w:rPr>
        <w:t>原因是单位</w:t>
      </w:r>
      <w:r>
        <w:rPr>
          <w:rFonts w:hint="default" w:ascii="Arial" w:hAnsi="Arial" w:eastAsia="宋体" w:cs="Arial"/>
          <w:i w:val="0"/>
          <w:caps w:val="0"/>
          <w:color w:val="000000"/>
          <w:spacing w:val="0"/>
          <w:sz w:val="27"/>
          <w:szCs w:val="27"/>
          <w:shd w:val="clear" w:fill="FFFFFF"/>
        </w:rPr>
        <w:t>节约费用</w:t>
      </w:r>
      <w:r>
        <w:rPr>
          <w:rFonts w:hint="eastAsia" w:ascii="Arial" w:hAnsi="Arial" w:eastAsia="宋体" w:cs="Arial"/>
          <w:i w:val="0"/>
          <w:caps w:val="0"/>
          <w:color w:val="000000"/>
          <w:spacing w:val="0"/>
          <w:sz w:val="27"/>
          <w:szCs w:val="27"/>
          <w:shd w:val="clear" w:fill="FFFFFF"/>
          <w:lang w:eastAsia="zh-CN"/>
        </w:rPr>
        <w:t>，全年无“三公”经费开支，</w:t>
      </w:r>
      <w:r>
        <w:rPr>
          <w:rFonts w:hint="default" w:ascii="Arial" w:hAnsi="Arial" w:eastAsia="宋体" w:cs="Arial"/>
          <w:i w:val="0"/>
          <w:caps w:val="0"/>
          <w:color w:val="000000"/>
          <w:spacing w:val="0"/>
          <w:sz w:val="27"/>
          <w:szCs w:val="27"/>
          <w:shd w:val="clear" w:fill="FFFFFF"/>
        </w:rPr>
        <w:t>与2021年预算0.24万元相比减少0.24万元。主要是严格执行相关规定，节约费用开支。其中:</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1、因公出国（境）费用支出决算为0万元，</w:t>
      </w:r>
      <w:r>
        <w:rPr>
          <w:rFonts w:hint="eastAsia" w:ascii="Arial" w:hAnsi="Arial" w:eastAsia="宋体" w:cs="Arial"/>
          <w:i w:val="0"/>
          <w:caps w:val="0"/>
          <w:color w:val="000000"/>
          <w:spacing w:val="0"/>
          <w:sz w:val="27"/>
          <w:szCs w:val="27"/>
          <w:shd w:val="clear" w:fill="FFFFFF"/>
          <w:lang w:val="en-US" w:eastAsia="zh-CN"/>
        </w:rPr>
        <w:t>,团组数为0组</w:t>
      </w:r>
      <w:r>
        <w:rPr>
          <w:rFonts w:hint="eastAsia" w:ascii="Arial" w:hAnsi="Arial" w:eastAsia="宋体" w:cs="Arial"/>
          <w:i w:val="0"/>
          <w:caps w:val="0"/>
          <w:color w:val="000000"/>
          <w:spacing w:val="0"/>
          <w:sz w:val="27"/>
          <w:szCs w:val="27"/>
          <w:shd w:val="clear" w:fill="FFFFFF"/>
          <w:lang w:eastAsia="zh-CN"/>
        </w:rPr>
        <w:t>，</w:t>
      </w:r>
      <w:r>
        <w:rPr>
          <w:rFonts w:hint="eastAsia" w:ascii="Arial" w:hAnsi="Arial" w:eastAsia="宋体" w:cs="Arial"/>
          <w:i w:val="0"/>
          <w:caps w:val="0"/>
          <w:color w:val="000000"/>
          <w:spacing w:val="0"/>
          <w:sz w:val="27"/>
          <w:szCs w:val="27"/>
          <w:shd w:val="clear" w:fill="FFFFFF"/>
          <w:lang w:val="en-US" w:eastAsia="zh-CN"/>
        </w:rPr>
        <w:t>人数为0人</w:t>
      </w:r>
      <w:r>
        <w:rPr>
          <w:rFonts w:hint="default" w:ascii="Arial" w:hAnsi="Arial" w:eastAsia="宋体" w:cs="Arial"/>
          <w:i w:val="0"/>
          <w:caps w:val="0"/>
          <w:color w:val="000000"/>
          <w:spacing w:val="0"/>
          <w:sz w:val="27"/>
          <w:szCs w:val="27"/>
          <w:shd w:val="clear" w:fill="FFFFFF"/>
        </w:rPr>
        <w:t>。与2020年决算数</w:t>
      </w:r>
      <w:r>
        <w:rPr>
          <w:rFonts w:hint="eastAsia" w:ascii="Arial" w:hAnsi="Arial" w:eastAsia="宋体" w:cs="Arial"/>
          <w:i w:val="0"/>
          <w:caps w:val="0"/>
          <w:color w:val="000000"/>
          <w:spacing w:val="0"/>
          <w:sz w:val="27"/>
          <w:szCs w:val="27"/>
          <w:shd w:val="clear" w:fill="FFFFFF"/>
          <w:lang w:val="en-US" w:eastAsia="zh-CN"/>
        </w:rPr>
        <w:t>0万元</w:t>
      </w:r>
      <w:r>
        <w:rPr>
          <w:rFonts w:hint="default" w:ascii="Arial" w:hAnsi="Arial" w:eastAsia="宋体" w:cs="Arial"/>
          <w:i w:val="0"/>
          <w:caps w:val="0"/>
          <w:color w:val="000000"/>
          <w:spacing w:val="0"/>
          <w:sz w:val="27"/>
          <w:szCs w:val="27"/>
          <w:shd w:val="clear" w:fill="FFFFFF"/>
        </w:rPr>
        <w:t>相比</w:t>
      </w:r>
      <w:r>
        <w:rPr>
          <w:rFonts w:hint="eastAsia" w:ascii="Arial" w:hAnsi="Arial" w:eastAsia="宋体" w:cs="Arial"/>
          <w:i w:val="0"/>
          <w:caps w:val="0"/>
          <w:color w:val="000000"/>
          <w:spacing w:val="0"/>
          <w:sz w:val="27"/>
          <w:szCs w:val="27"/>
          <w:shd w:val="clear" w:fill="FFFFFF"/>
          <w:lang w:val="en-US" w:eastAsia="zh-CN"/>
        </w:rPr>
        <w:t>持平</w:t>
      </w:r>
      <w:r>
        <w:rPr>
          <w:rFonts w:hint="eastAsia" w:ascii="Arial" w:hAnsi="Arial" w:eastAsia="宋体" w:cs="Arial"/>
          <w:i w:val="0"/>
          <w:caps w:val="0"/>
          <w:color w:val="000000"/>
          <w:spacing w:val="0"/>
          <w:sz w:val="27"/>
          <w:szCs w:val="27"/>
          <w:shd w:val="clear" w:fill="FFFFFF"/>
          <w:lang w:eastAsia="zh-CN"/>
        </w:rPr>
        <w:t>，</w:t>
      </w:r>
      <w:r>
        <w:rPr>
          <w:rFonts w:hint="eastAsia" w:ascii="Arial" w:hAnsi="Arial" w:eastAsia="宋体" w:cs="Arial"/>
          <w:i w:val="0"/>
          <w:caps w:val="0"/>
          <w:color w:val="000000"/>
          <w:spacing w:val="0"/>
          <w:sz w:val="27"/>
          <w:szCs w:val="27"/>
          <w:shd w:val="clear" w:fill="FFFFFF"/>
          <w:lang w:val="en-US" w:eastAsia="zh-CN"/>
        </w:rPr>
        <w:t>原因是单位无</w:t>
      </w:r>
      <w:r>
        <w:rPr>
          <w:rFonts w:hint="default" w:ascii="Arial" w:hAnsi="Arial" w:eastAsia="宋体" w:cs="Arial"/>
          <w:i w:val="0"/>
          <w:caps w:val="0"/>
          <w:color w:val="000000"/>
          <w:spacing w:val="0"/>
          <w:sz w:val="27"/>
          <w:szCs w:val="27"/>
          <w:shd w:val="clear" w:fill="FFFFFF"/>
        </w:rPr>
        <w:t>因公出国（境）费用</w:t>
      </w:r>
      <w:r>
        <w:rPr>
          <w:rFonts w:hint="eastAsia" w:ascii="Arial" w:hAnsi="Arial" w:eastAsia="宋体" w:cs="Arial"/>
          <w:i w:val="0"/>
          <w:caps w:val="0"/>
          <w:color w:val="000000"/>
          <w:spacing w:val="0"/>
          <w:sz w:val="27"/>
          <w:szCs w:val="27"/>
          <w:shd w:val="clear" w:fill="FFFFFF"/>
          <w:lang w:eastAsia="zh-CN"/>
        </w:rPr>
        <w:t>开支</w:t>
      </w:r>
      <w:r>
        <w:rPr>
          <w:rFonts w:hint="default" w:ascii="Arial" w:hAnsi="Arial" w:eastAsia="宋体" w:cs="Arial"/>
          <w:i w:val="0"/>
          <w:caps w:val="0"/>
          <w:color w:val="000000"/>
          <w:spacing w:val="0"/>
          <w:sz w:val="27"/>
          <w:szCs w:val="27"/>
          <w:shd w:val="clear" w:fill="FFFFFF"/>
        </w:rPr>
        <w:t>。与2021年预算</w:t>
      </w:r>
      <w:r>
        <w:rPr>
          <w:rFonts w:hint="eastAsia" w:ascii="Arial" w:hAnsi="Arial" w:eastAsia="宋体" w:cs="Arial"/>
          <w:i w:val="0"/>
          <w:caps w:val="0"/>
          <w:color w:val="000000"/>
          <w:spacing w:val="0"/>
          <w:sz w:val="27"/>
          <w:szCs w:val="27"/>
          <w:shd w:val="clear" w:fill="FFFFFF"/>
          <w:lang w:val="en-US" w:eastAsia="zh-CN"/>
        </w:rPr>
        <w:t>数0万元</w:t>
      </w:r>
      <w:r>
        <w:rPr>
          <w:rFonts w:hint="default" w:ascii="Arial" w:hAnsi="Arial" w:eastAsia="宋体" w:cs="Arial"/>
          <w:i w:val="0"/>
          <w:caps w:val="0"/>
          <w:color w:val="000000"/>
          <w:spacing w:val="0"/>
          <w:sz w:val="27"/>
          <w:szCs w:val="27"/>
          <w:shd w:val="clear" w:fill="FFFFFF"/>
        </w:rPr>
        <w:t>相比</w:t>
      </w:r>
      <w:r>
        <w:rPr>
          <w:rFonts w:hint="eastAsia" w:ascii="Arial" w:hAnsi="Arial" w:eastAsia="宋体" w:cs="Arial"/>
          <w:i w:val="0"/>
          <w:caps w:val="0"/>
          <w:color w:val="000000"/>
          <w:spacing w:val="0"/>
          <w:sz w:val="27"/>
          <w:szCs w:val="27"/>
          <w:shd w:val="clear" w:fill="FFFFFF"/>
          <w:lang w:val="en-US" w:eastAsia="zh-CN"/>
        </w:rPr>
        <w:t>持平</w:t>
      </w:r>
      <w:r>
        <w:rPr>
          <w:rFonts w:hint="default" w:ascii="Arial" w:hAnsi="Arial" w:eastAsia="宋体" w:cs="Arial"/>
          <w:i w:val="0"/>
          <w:caps w:val="0"/>
          <w:color w:val="000000"/>
          <w:spacing w:val="0"/>
          <w:sz w:val="27"/>
          <w:szCs w:val="27"/>
          <w:shd w:val="clear" w:fill="FFFFFF"/>
        </w:rPr>
        <w:t>，</w:t>
      </w:r>
      <w:r>
        <w:rPr>
          <w:rFonts w:hint="eastAsia" w:ascii="Arial" w:hAnsi="Arial" w:eastAsia="宋体" w:cs="Arial"/>
          <w:i w:val="0"/>
          <w:caps w:val="0"/>
          <w:color w:val="000000"/>
          <w:spacing w:val="0"/>
          <w:sz w:val="27"/>
          <w:szCs w:val="27"/>
          <w:shd w:val="clear" w:fill="FFFFFF"/>
          <w:lang w:val="en-US" w:eastAsia="zh-CN"/>
        </w:rPr>
        <w:t>原因是单位无</w:t>
      </w:r>
      <w:r>
        <w:rPr>
          <w:rFonts w:hint="default" w:ascii="Arial" w:hAnsi="Arial" w:eastAsia="宋体" w:cs="Arial"/>
          <w:i w:val="0"/>
          <w:caps w:val="0"/>
          <w:color w:val="000000"/>
          <w:spacing w:val="0"/>
          <w:sz w:val="27"/>
          <w:szCs w:val="27"/>
          <w:shd w:val="clear" w:fill="FFFFFF"/>
        </w:rPr>
        <w:t>因公出国（境）费用</w:t>
      </w:r>
      <w:r>
        <w:rPr>
          <w:rFonts w:hint="eastAsia" w:ascii="Arial" w:hAnsi="Arial" w:eastAsia="宋体" w:cs="Arial"/>
          <w:i w:val="0"/>
          <w:caps w:val="0"/>
          <w:color w:val="000000"/>
          <w:spacing w:val="0"/>
          <w:sz w:val="27"/>
          <w:szCs w:val="27"/>
          <w:shd w:val="clear" w:fill="FFFFFF"/>
          <w:lang w:eastAsia="zh-CN"/>
        </w:rPr>
        <w:t>开支</w:t>
      </w:r>
      <w:r>
        <w:rPr>
          <w:rFonts w:hint="eastAsia" w:ascii="Arial" w:hAnsi="Arial" w:eastAsia="宋体" w:cs="Arial"/>
          <w:i w:val="0"/>
          <w:caps w:val="0"/>
          <w:color w:val="000000"/>
          <w:spacing w:val="0"/>
          <w:sz w:val="27"/>
          <w:szCs w:val="27"/>
          <w:shd w:val="clear" w:fill="FFFFFF"/>
          <w:lang w:val="en-US" w:eastAsia="zh-CN"/>
        </w:rPr>
        <w:t>.</w:t>
      </w:r>
    </w:p>
    <w:p w14:paraId="1985E85D">
      <w:pPr>
        <w:rPr>
          <w:rFonts w:hint="default" w:ascii="Arial" w:hAnsi="Arial" w:eastAsia="宋体" w:cs="Arial"/>
          <w:i w:val="0"/>
          <w:caps w:val="0"/>
          <w:color w:val="000000"/>
          <w:spacing w:val="0"/>
          <w:sz w:val="27"/>
          <w:szCs w:val="27"/>
          <w:shd w:val="clear" w:fill="FFFFFF"/>
        </w:rPr>
      </w:pPr>
      <w:r>
        <w:rPr>
          <w:rFonts w:hint="default" w:ascii="Arial" w:hAnsi="Arial" w:eastAsia="宋体" w:cs="Arial"/>
          <w:i w:val="0"/>
          <w:caps w:val="0"/>
          <w:color w:val="000000"/>
          <w:spacing w:val="0"/>
          <w:sz w:val="27"/>
          <w:szCs w:val="27"/>
          <w:shd w:val="clear" w:fill="FFFFFF"/>
        </w:rPr>
        <w:t>2、2021年公务用车购置及运行维护费支出决算数为</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万元，与2020年决算数</w:t>
      </w:r>
      <w:r>
        <w:rPr>
          <w:rFonts w:hint="eastAsia" w:ascii="Arial" w:hAnsi="Arial" w:eastAsia="宋体" w:cs="Arial"/>
          <w:i w:val="0"/>
          <w:caps w:val="0"/>
          <w:color w:val="000000"/>
          <w:spacing w:val="0"/>
          <w:sz w:val="27"/>
          <w:szCs w:val="27"/>
          <w:shd w:val="clear" w:fill="FFFFFF"/>
          <w:lang w:val="en-US" w:eastAsia="zh-CN"/>
        </w:rPr>
        <w:t>0万元</w:t>
      </w:r>
      <w:r>
        <w:rPr>
          <w:rFonts w:hint="default" w:ascii="Arial" w:hAnsi="Arial" w:eastAsia="宋体" w:cs="Arial"/>
          <w:i w:val="0"/>
          <w:caps w:val="0"/>
          <w:color w:val="000000"/>
          <w:spacing w:val="0"/>
          <w:sz w:val="27"/>
          <w:szCs w:val="27"/>
          <w:shd w:val="clear" w:fill="FFFFFF"/>
        </w:rPr>
        <w:t>相比</w:t>
      </w:r>
      <w:r>
        <w:rPr>
          <w:rFonts w:hint="eastAsia" w:ascii="Arial" w:hAnsi="Arial" w:eastAsia="宋体" w:cs="Arial"/>
          <w:i w:val="0"/>
          <w:caps w:val="0"/>
          <w:color w:val="000000"/>
          <w:spacing w:val="0"/>
          <w:sz w:val="27"/>
          <w:szCs w:val="27"/>
          <w:shd w:val="clear" w:fill="FFFFFF"/>
          <w:lang w:val="en-US" w:eastAsia="zh-CN"/>
        </w:rPr>
        <w:t>持平</w:t>
      </w:r>
      <w:r>
        <w:rPr>
          <w:rFonts w:hint="eastAsia" w:ascii="Arial" w:hAnsi="Arial" w:eastAsia="宋体" w:cs="Arial"/>
          <w:i w:val="0"/>
          <w:caps w:val="0"/>
          <w:color w:val="000000"/>
          <w:spacing w:val="0"/>
          <w:sz w:val="27"/>
          <w:szCs w:val="27"/>
          <w:shd w:val="clear" w:fill="FFFFFF"/>
          <w:lang w:eastAsia="zh-CN"/>
        </w:rPr>
        <w:t>，</w:t>
      </w:r>
      <w:r>
        <w:rPr>
          <w:rFonts w:hint="eastAsia" w:ascii="Arial" w:hAnsi="Arial" w:eastAsia="宋体" w:cs="Arial"/>
          <w:i w:val="0"/>
          <w:caps w:val="0"/>
          <w:color w:val="000000"/>
          <w:spacing w:val="0"/>
          <w:sz w:val="27"/>
          <w:szCs w:val="27"/>
          <w:shd w:val="clear" w:fill="FFFFFF"/>
          <w:lang w:val="en-US" w:eastAsia="zh-CN"/>
        </w:rPr>
        <w:t>原因是</w:t>
      </w:r>
      <w:r>
        <w:rPr>
          <w:rFonts w:hint="eastAsia" w:ascii="Arial" w:hAnsi="Arial" w:eastAsia="宋体" w:cs="Arial"/>
          <w:i w:val="0"/>
          <w:caps w:val="0"/>
          <w:color w:val="000000"/>
          <w:spacing w:val="0"/>
          <w:sz w:val="27"/>
          <w:szCs w:val="27"/>
          <w:shd w:val="clear" w:fill="FFFFFF"/>
          <w:lang w:eastAsia="zh-CN"/>
        </w:rPr>
        <w:t>单位公车改革后，无公务用车。</w:t>
      </w:r>
      <w:r>
        <w:rPr>
          <w:rFonts w:hint="default" w:ascii="Arial" w:hAnsi="Arial" w:eastAsia="宋体" w:cs="Arial"/>
          <w:i w:val="0"/>
          <w:caps w:val="0"/>
          <w:color w:val="000000"/>
          <w:spacing w:val="0"/>
          <w:sz w:val="27"/>
          <w:szCs w:val="27"/>
          <w:shd w:val="clear" w:fill="FFFFFF"/>
        </w:rPr>
        <w:t>与2021年预算</w:t>
      </w:r>
      <w:r>
        <w:rPr>
          <w:rFonts w:hint="eastAsia" w:ascii="Arial" w:hAnsi="Arial" w:eastAsia="宋体" w:cs="Arial"/>
          <w:i w:val="0"/>
          <w:caps w:val="0"/>
          <w:color w:val="000000"/>
          <w:spacing w:val="0"/>
          <w:sz w:val="27"/>
          <w:szCs w:val="27"/>
          <w:shd w:val="clear" w:fill="FFFFFF"/>
          <w:lang w:val="en-US" w:eastAsia="zh-CN"/>
        </w:rPr>
        <w:t>数0万元</w:t>
      </w:r>
      <w:r>
        <w:rPr>
          <w:rFonts w:hint="default" w:ascii="Arial" w:hAnsi="Arial" w:eastAsia="宋体" w:cs="Arial"/>
          <w:i w:val="0"/>
          <w:caps w:val="0"/>
          <w:color w:val="000000"/>
          <w:spacing w:val="0"/>
          <w:sz w:val="27"/>
          <w:szCs w:val="27"/>
          <w:shd w:val="clear" w:fill="FFFFFF"/>
        </w:rPr>
        <w:t>相比</w:t>
      </w:r>
      <w:r>
        <w:rPr>
          <w:rFonts w:hint="eastAsia" w:ascii="Arial" w:hAnsi="Arial" w:eastAsia="宋体" w:cs="Arial"/>
          <w:i w:val="0"/>
          <w:caps w:val="0"/>
          <w:color w:val="000000"/>
          <w:spacing w:val="0"/>
          <w:sz w:val="27"/>
          <w:szCs w:val="27"/>
          <w:shd w:val="clear" w:fill="FFFFFF"/>
          <w:lang w:val="en-US" w:eastAsia="zh-CN"/>
        </w:rPr>
        <w:t>持平</w:t>
      </w:r>
      <w:r>
        <w:rPr>
          <w:rFonts w:hint="default" w:ascii="Arial" w:hAnsi="Arial" w:eastAsia="宋体" w:cs="Arial"/>
          <w:i w:val="0"/>
          <w:caps w:val="0"/>
          <w:color w:val="000000"/>
          <w:spacing w:val="0"/>
          <w:sz w:val="27"/>
          <w:szCs w:val="27"/>
          <w:shd w:val="clear" w:fill="FFFFFF"/>
        </w:rPr>
        <w:t>，</w:t>
      </w:r>
      <w:r>
        <w:rPr>
          <w:rFonts w:hint="eastAsia" w:ascii="Arial" w:hAnsi="Arial" w:eastAsia="宋体" w:cs="Arial"/>
          <w:i w:val="0"/>
          <w:caps w:val="0"/>
          <w:color w:val="000000"/>
          <w:spacing w:val="0"/>
          <w:sz w:val="27"/>
          <w:szCs w:val="27"/>
          <w:shd w:val="clear" w:fill="FFFFFF"/>
          <w:lang w:val="en-US" w:eastAsia="zh-CN"/>
        </w:rPr>
        <w:t>原因是</w:t>
      </w:r>
      <w:r>
        <w:rPr>
          <w:rFonts w:hint="eastAsia" w:ascii="Arial" w:hAnsi="Arial" w:eastAsia="宋体" w:cs="Arial"/>
          <w:i w:val="0"/>
          <w:caps w:val="0"/>
          <w:color w:val="000000"/>
          <w:spacing w:val="0"/>
          <w:sz w:val="27"/>
          <w:szCs w:val="27"/>
          <w:shd w:val="clear" w:fill="FFFFFF"/>
          <w:lang w:eastAsia="zh-CN"/>
        </w:rPr>
        <w:t>单位公车改革后，无公务用车</w:t>
      </w:r>
      <w:r>
        <w:rPr>
          <w:rFonts w:hint="default" w:ascii="Arial" w:hAnsi="Arial" w:eastAsia="宋体" w:cs="Arial"/>
          <w:i w:val="0"/>
          <w:caps w:val="0"/>
          <w:color w:val="000000"/>
          <w:spacing w:val="0"/>
          <w:sz w:val="27"/>
          <w:szCs w:val="27"/>
          <w:shd w:val="clear" w:fill="FFFFFF"/>
        </w:rPr>
        <w:t>。其中：</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（1）</w:t>
      </w:r>
      <w:r>
        <w:rPr>
          <w:rFonts w:hint="eastAsia" w:ascii="Arial" w:hAnsi="Arial" w:eastAsia="宋体" w:cs="Arial"/>
          <w:i w:val="0"/>
          <w:caps w:val="0"/>
          <w:color w:val="000000"/>
          <w:spacing w:val="0"/>
          <w:sz w:val="27"/>
          <w:szCs w:val="27"/>
          <w:shd w:val="clear" w:fill="FFFFFF"/>
          <w:lang w:val="en-US" w:eastAsia="zh-CN"/>
        </w:rPr>
        <w:t>我单位</w:t>
      </w:r>
      <w:r>
        <w:rPr>
          <w:rFonts w:hint="default" w:ascii="Arial" w:hAnsi="Arial" w:eastAsia="宋体" w:cs="Arial"/>
          <w:i w:val="0"/>
          <w:caps w:val="0"/>
          <w:color w:val="000000"/>
          <w:spacing w:val="0"/>
          <w:sz w:val="27"/>
          <w:szCs w:val="27"/>
          <w:shd w:val="clear" w:fill="FFFFFF"/>
        </w:rPr>
        <w:t>公务用车购置费为0万元，车型为：无 ，本年度公务用车购置数0辆</w:t>
      </w:r>
      <w:r>
        <w:rPr>
          <w:rFonts w:hint="eastAsia" w:ascii="Arial" w:hAnsi="Arial" w:eastAsia="宋体" w:cs="Arial"/>
          <w:i w:val="0"/>
          <w:caps w:val="0"/>
          <w:color w:val="000000"/>
          <w:spacing w:val="0"/>
          <w:sz w:val="27"/>
          <w:szCs w:val="27"/>
          <w:shd w:val="clear" w:fill="FFFFFF"/>
          <w:lang w:eastAsia="zh-CN"/>
        </w:rPr>
        <w:t>，</w:t>
      </w:r>
      <w:r>
        <w:rPr>
          <w:rFonts w:hint="default" w:ascii="Arial" w:hAnsi="Arial" w:eastAsia="宋体" w:cs="Arial"/>
          <w:i w:val="0"/>
          <w:caps w:val="0"/>
          <w:color w:val="000000"/>
          <w:spacing w:val="0"/>
          <w:sz w:val="27"/>
          <w:szCs w:val="27"/>
          <w:shd w:val="clear" w:fill="FFFFFF"/>
        </w:rPr>
        <w:t>公务用车保有量为</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台</w:t>
      </w:r>
      <w:r>
        <w:rPr>
          <w:rFonts w:hint="eastAsia" w:ascii="Arial" w:hAnsi="Arial" w:eastAsia="宋体" w:cs="Arial"/>
          <w:i w:val="0"/>
          <w:caps w:val="0"/>
          <w:color w:val="000000"/>
          <w:spacing w:val="0"/>
          <w:sz w:val="27"/>
          <w:szCs w:val="27"/>
          <w:shd w:val="clear" w:fill="FFFFFF"/>
          <w:lang w:eastAsia="zh-CN"/>
        </w:rPr>
        <w:t>。</w:t>
      </w:r>
      <w:r>
        <w:rPr>
          <w:rFonts w:hint="default" w:ascii="Arial" w:hAnsi="Arial" w:eastAsia="宋体" w:cs="Arial"/>
          <w:i w:val="0"/>
          <w:caps w:val="0"/>
          <w:color w:val="000000"/>
          <w:spacing w:val="0"/>
          <w:sz w:val="27"/>
          <w:szCs w:val="27"/>
          <w:shd w:val="clear" w:fill="FFFFFF"/>
        </w:rPr>
        <w:t>与2020年决算数</w:t>
      </w:r>
      <w:r>
        <w:rPr>
          <w:rFonts w:hint="eastAsia" w:ascii="Arial" w:hAnsi="Arial" w:eastAsia="宋体" w:cs="Arial"/>
          <w:i w:val="0"/>
          <w:caps w:val="0"/>
          <w:color w:val="000000"/>
          <w:spacing w:val="0"/>
          <w:sz w:val="27"/>
          <w:szCs w:val="27"/>
          <w:shd w:val="clear" w:fill="FFFFFF"/>
          <w:lang w:val="en-US" w:eastAsia="zh-CN"/>
        </w:rPr>
        <w:t>0万元</w:t>
      </w:r>
      <w:r>
        <w:rPr>
          <w:rFonts w:hint="default" w:ascii="Arial" w:hAnsi="Arial" w:eastAsia="宋体" w:cs="Arial"/>
          <w:i w:val="0"/>
          <w:caps w:val="0"/>
          <w:color w:val="000000"/>
          <w:spacing w:val="0"/>
          <w:sz w:val="27"/>
          <w:szCs w:val="27"/>
          <w:shd w:val="clear" w:fill="FFFFFF"/>
        </w:rPr>
        <w:t>相比</w:t>
      </w:r>
      <w:r>
        <w:rPr>
          <w:rFonts w:hint="eastAsia" w:ascii="Arial" w:hAnsi="Arial" w:eastAsia="宋体" w:cs="Arial"/>
          <w:i w:val="0"/>
          <w:caps w:val="0"/>
          <w:color w:val="000000"/>
          <w:spacing w:val="0"/>
          <w:sz w:val="27"/>
          <w:szCs w:val="27"/>
          <w:shd w:val="clear" w:fill="FFFFFF"/>
          <w:lang w:val="en-US" w:eastAsia="zh-CN"/>
        </w:rPr>
        <w:t>持平</w:t>
      </w:r>
      <w:r>
        <w:rPr>
          <w:rFonts w:hint="eastAsia" w:ascii="Arial" w:hAnsi="Arial" w:eastAsia="宋体" w:cs="Arial"/>
          <w:i w:val="0"/>
          <w:caps w:val="0"/>
          <w:color w:val="000000"/>
          <w:spacing w:val="0"/>
          <w:sz w:val="27"/>
          <w:szCs w:val="27"/>
          <w:shd w:val="clear" w:fill="FFFFFF"/>
          <w:lang w:eastAsia="zh-CN"/>
        </w:rPr>
        <w:t>，</w:t>
      </w:r>
      <w:r>
        <w:rPr>
          <w:rFonts w:hint="eastAsia" w:ascii="Arial" w:hAnsi="Arial" w:eastAsia="宋体" w:cs="Arial"/>
          <w:i w:val="0"/>
          <w:caps w:val="0"/>
          <w:color w:val="000000"/>
          <w:spacing w:val="0"/>
          <w:sz w:val="27"/>
          <w:szCs w:val="27"/>
          <w:shd w:val="clear" w:fill="FFFFFF"/>
          <w:lang w:val="en-US" w:eastAsia="zh-CN"/>
        </w:rPr>
        <w:t>原因是单位未购置公车</w:t>
      </w:r>
      <w:r>
        <w:rPr>
          <w:rFonts w:hint="default" w:ascii="Arial" w:hAnsi="Arial" w:eastAsia="宋体" w:cs="Arial"/>
          <w:i w:val="0"/>
          <w:caps w:val="0"/>
          <w:color w:val="000000"/>
          <w:spacing w:val="0"/>
          <w:sz w:val="27"/>
          <w:szCs w:val="27"/>
          <w:shd w:val="clear" w:fill="FFFFFF"/>
        </w:rPr>
        <w:t>。与2021年预算</w:t>
      </w:r>
      <w:r>
        <w:rPr>
          <w:rFonts w:hint="eastAsia" w:ascii="Arial" w:hAnsi="Arial" w:eastAsia="宋体" w:cs="Arial"/>
          <w:i w:val="0"/>
          <w:caps w:val="0"/>
          <w:color w:val="000000"/>
          <w:spacing w:val="0"/>
          <w:sz w:val="27"/>
          <w:szCs w:val="27"/>
          <w:shd w:val="clear" w:fill="FFFFFF"/>
          <w:lang w:val="en-US" w:eastAsia="zh-CN"/>
        </w:rPr>
        <w:t>数0万元</w:t>
      </w:r>
      <w:r>
        <w:rPr>
          <w:rFonts w:hint="eastAsia" w:ascii="Arial" w:hAnsi="Arial" w:eastAsia="宋体" w:cs="Arial"/>
          <w:i w:val="0"/>
          <w:caps w:val="0"/>
          <w:color w:val="000000"/>
          <w:spacing w:val="0"/>
          <w:sz w:val="27"/>
          <w:szCs w:val="27"/>
          <w:shd w:val="clear" w:fill="FFFFFF"/>
          <w:lang w:eastAsia="zh-CN"/>
        </w:rPr>
        <w:t>持平</w:t>
      </w:r>
      <w:r>
        <w:rPr>
          <w:rFonts w:hint="default" w:ascii="Arial" w:hAnsi="Arial" w:eastAsia="宋体" w:cs="Arial"/>
          <w:i w:val="0"/>
          <w:caps w:val="0"/>
          <w:color w:val="000000"/>
          <w:spacing w:val="0"/>
          <w:sz w:val="27"/>
          <w:szCs w:val="27"/>
          <w:shd w:val="clear" w:fill="FFFFFF"/>
        </w:rPr>
        <w:t>，</w:t>
      </w:r>
      <w:r>
        <w:rPr>
          <w:rFonts w:hint="eastAsia" w:ascii="Arial" w:hAnsi="Arial" w:eastAsia="宋体" w:cs="Arial"/>
          <w:i w:val="0"/>
          <w:caps w:val="0"/>
          <w:color w:val="000000"/>
          <w:spacing w:val="0"/>
          <w:sz w:val="27"/>
          <w:szCs w:val="27"/>
          <w:shd w:val="clear" w:fill="FFFFFF"/>
          <w:lang w:val="en-US" w:eastAsia="zh-CN"/>
        </w:rPr>
        <w:t>原因是单位未购置公车</w:t>
      </w:r>
      <w:r>
        <w:rPr>
          <w:rFonts w:hint="default" w:ascii="Arial" w:hAnsi="Arial" w:eastAsia="宋体" w:cs="Arial"/>
          <w:i w:val="0"/>
          <w:caps w:val="0"/>
          <w:color w:val="000000"/>
          <w:spacing w:val="0"/>
          <w:sz w:val="27"/>
          <w:szCs w:val="27"/>
          <w:shd w:val="clear" w:fill="FFFFFF"/>
        </w:rPr>
        <w:t>。</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（2）公务用车运行维护费</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万元，与2020年支出决算数</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万元</w:t>
      </w:r>
      <w:r>
        <w:rPr>
          <w:rFonts w:hint="eastAsia" w:ascii="Arial" w:hAnsi="Arial" w:eastAsia="宋体" w:cs="Arial"/>
          <w:i w:val="0"/>
          <w:caps w:val="0"/>
          <w:color w:val="000000"/>
          <w:spacing w:val="0"/>
          <w:sz w:val="27"/>
          <w:szCs w:val="27"/>
          <w:shd w:val="clear" w:fill="FFFFFF"/>
          <w:lang w:val="en-US" w:eastAsia="zh-CN"/>
        </w:rPr>
        <w:t>相比持平</w:t>
      </w:r>
      <w:r>
        <w:rPr>
          <w:rFonts w:hint="default" w:ascii="Arial" w:hAnsi="Arial" w:eastAsia="宋体" w:cs="Arial"/>
          <w:i w:val="0"/>
          <w:caps w:val="0"/>
          <w:color w:val="000000"/>
          <w:spacing w:val="0"/>
          <w:sz w:val="27"/>
          <w:szCs w:val="27"/>
          <w:shd w:val="clear" w:fill="FFFFFF"/>
        </w:rPr>
        <w:t>，</w:t>
      </w:r>
      <w:r>
        <w:rPr>
          <w:rFonts w:hint="eastAsia" w:ascii="Arial" w:hAnsi="Arial" w:eastAsia="宋体" w:cs="Arial"/>
          <w:i w:val="0"/>
          <w:caps w:val="0"/>
          <w:color w:val="000000"/>
          <w:spacing w:val="0"/>
          <w:sz w:val="27"/>
          <w:szCs w:val="27"/>
          <w:shd w:val="clear" w:fill="FFFFFF"/>
          <w:lang w:val="en-US" w:eastAsia="zh-CN"/>
        </w:rPr>
        <w:t>原因是</w:t>
      </w:r>
      <w:r>
        <w:rPr>
          <w:rFonts w:hint="eastAsia" w:ascii="Arial" w:hAnsi="Arial" w:eastAsia="宋体" w:cs="Arial"/>
          <w:i w:val="0"/>
          <w:caps w:val="0"/>
          <w:color w:val="000000"/>
          <w:spacing w:val="0"/>
          <w:sz w:val="27"/>
          <w:szCs w:val="27"/>
          <w:shd w:val="clear" w:fill="FFFFFF"/>
          <w:lang w:eastAsia="zh-CN"/>
        </w:rPr>
        <w:t>单位公车改革后，无公务用车。</w:t>
      </w:r>
      <w:r>
        <w:rPr>
          <w:rFonts w:hint="eastAsia" w:ascii="Arial" w:hAnsi="Arial" w:eastAsia="宋体" w:cs="Arial"/>
          <w:i w:val="0"/>
          <w:caps w:val="0"/>
          <w:color w:val="000000"/>
          <w:spacing w:val="0"/>
          <w:sz w:val="27"/>
          <w:szCs w:val="27"/>
          <w:shd w:val="clear" w:fill="FFFFFF"/>
          <w:lang w:val="en-US" w:eastAsia="zh-CN"/>
        </w:rPr>
        <w:t>与2021年预算数0万元相比持平,原因</w:t>
      </w:r>
      <w:r>
        <w:rPr>
          <w:rFonts w:hint="default" w:ascii="Arial" w:hAnsi="Arial" w:eastAsia="宋体" w:cs="Arial"/>
          <w:i w:val="0"/>
          <w:caps w:val="0"/>
          <w:color w:val="000000"/>
          <w:spacing w:val="0"/>
          <w:sz w:val="27"/>
          <w:szCs w:val="27"/>
          <w:shd w:val="clear" w:fill="FFFFFF"/>
        </w:rPr>
        <w:t>是</w:t>
      </w:r>
      <w:r>
        <w:rPr>
          <w:rFonts w:hint="eastAsia" w:ascii="Arial" w:hAnsi="Arial" w:eastAsia="宋体" w:cs="Arial"/>
          <w:i w:val="0"/>
          <w:caps w:val="0"/>
          <w:color w:val="000000"/>
          <w:spacing w:val="0"/>
          <w:sz w:val="27"/>
          <w:szCs w:val="27"/>
          <w:shd w:val="clear" w:fill="FFFFFF"/>
          <w:lang w:eastAsia="zh-CN"/>
        </w:rPr>
        <w:t>单位公车改革后，无公务用车。</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3、公务接待支出决算数为</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万元</w:t>
      </w:r>
      <w:r>
        <w:rPr>
          <w:rFonts w:hint="eastAsia" w:ascii="Arial" w:hAnsi="Arial" w:eastAsia="宋体" w:cs="Arial"/>
          <w:i w:val="0"/>
          <w:caps w:val="0"/>
          <w:color w:val="000000"/>
          <w:spacing w:val="0"/>
          <w:sz w:val="27"/>
          <w:szCs w:val="27"/>
          <w:shd w:val="clear" w:fill="FFFFFF"/>
          <w:lang w:eastAsia="zh-CN"/>
        </w:rPr>
        <w:t>，</w:t>
      </w:r>
      <w:r>
        <w:rPr>
          <w:rFonts w:hint="default" w:ascii="Arial" w:hAnsi="Arial" w:eastAsia="宋体" w:cs="Arial"/>
          <w:i w:val="0"/>
          <w:caps w:val="0"/>
          <w:color w:val="000000"/>
          <w:spacing w:val="0"/>
          <w:sz w:val="27"/>
          <w:szCs w:val="27"/>
          <w:shd w:val="clear" w:fill="FFFFFF"/>
        </w:rPr>
        <w:t>共接待</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批次、</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人。</w:t>
      </w:r>
      <w:r>
        <w:rPr>
          <w:rFonts w:hint="eastAsia" w:ascii="Arial" w:hAnsi="Arial" w:eastAsia="宋体" w:cs="Arial"/>
          <w:i w:val="0"/>
          <w:caps w:val="0"/>
          <w:color w:val="000000"/>
          <w:spacing w:val="0"/>
          <w:sz w:val="27"/>
          <w:szCs w:val="27"/>
          <w:shd w:val="clear" w:fill="FFFFFF"/>
          <w:lang w:val="en-US" w:eastAsia="zh-CN"/>
        </w:rPr>
        <w:t>与2021年预算数0.24万元相比减少0.24万元，原因是</w:t>
      </w:r>
      <w:r>
        <w:rPr>
          <w:rFonts w:hint="default" w:ascii="Arial" w:hAnsi="Arial" w:eastAsia="宋体" w:cs="Arial"/>
          <w:i w:val="0"/>
          <w:caps w:val="0"/>
          <w:color w:val="000000"/>
          <w:spacing w:val="0"/>
          <w:sz w:val="27"/>
          <w:szCs w:val="27"/>
          <w:shd w:val="clear" w:fill="FFFFFF"/>
        </w:rPr>
        <w:t>单位从严控制支出</w:t>
      </w:r>
      <w:r>
        <w:rPr>
          <w:rFonts w:hint="eastAsia" w:ascii="Arial" w:hAnsi="Arial" w:eastAsia="宋体" w:cs="Arial"/>
          <w:i w:val="0"/>
          <w:caps w:val="0"/>
          <w:color w:val="000000"/>
          <w:spacing w:val="0"/>
          <w:sz w:val="27"/>
          <w:szCs w:val="27"/>
          <w:shd w:val="clear" w:fill="FFFFFF"/>
          <w:lang w:eastAsia="zh-CN"/>
        </w:rPr>
        <w:t>，全年无费用开支</w:t>
      </w:r>
      <w:r>
        <w:rPr>
          <w:rFonts w:hint="eastAsia" w:ascii="Arial" w:hAnsi="Arial" w:eastAsia="宋体" w:cs="Arial"/>
          <w:i w:val="0"/>
          <w:caps w:val="0"/>
          <w:color w:val="000000"/>
          <w:spacing w:val="0"/>
          <w:sz w:val="27"/>
          <w:szCs w:val="27"/>
          <w:shd w:val="clear" w:fill="FFFFFF"/>
          <w:lang w:val="en-US" w:eastAsia="zh-CN"/>
        </w:rPr>
        <w:t>，</w:t>
      </w:r>
      <w:r>
        <w:rPr>
          <w:rFonts w:hint="default" w:ascii="Arial" w:hAnsi="Arial" w:eastAsia="宋体" w:cs="Arial"/>
          <w:i w:val="0"/>
          <w:caps w:val="0"/>
          <w:color w:val="000000"/>
          <w:spacing w:val="0"/>
          <w:sz w:val="27"/>
          <w:szCs w:val="27"/>
          <w:shd w:val="clear" w:fill="FFFFFF"/>
        </w:rPr>
        <w:t>与2020年支出决算数</w:t>
      </w:r>
      <w:r>
        <w:rPr>
          <w:rFonts w:hint="eastAsia" w:ascii="Arial" w:hAnsi="Arial" w:eastAsia="宋体" w:cs="Arial"/>
          <w:i w:val="0"/>
          <w:caps w:val="0"/>
          <w:color w:val="000000"/>
          <w:spacing w:val="0"/>
          <w:sz w:val="27"/>
          <w:szCs w:val="27"/>
          <w:shd w:val="clear" w:fill="FFFFFF"/>
          <w:lang w:val="en-US" w:eastAsia="zh-CN"/>
        </w:rPr>
        <w:t>0</w:t>
      </w:r>
      <w:r>
        <w:rPr>
          <w:rFonts w:hint="default" w:ascii="Arial" w:hAnsi="Arial" w:eastAsia="宋体" w:cs="Arial"/>
          <w:i w:val="0"/>
          <w:caps w:val="0"/>
          <w:color w:val="000000"/>
          <w:spacing w:val="0"/>
          <w:sz w:val="27"/>
          <w:szCs w:val="27"/>
          <w:shd w:val="clear" w:fill="FFFFFF"/>
        </w:rPr>
        <w:t>万元相比</w:t>
      </w:r>
      <w:r>
        <w:rPr>
          <w:rFonts w:hint="eastAsia" w:ascii="Arial" w:hAnsi="Arial" w:eastAsia="宋体" w:cs="Arial"/>
          <w:i w:val="0"/>
          <w:caps w:val="0"/>
          <w:color w:val="000000"/>
          <w:spacing w:val="0"/>
          <w:sz w:val="27"/>
          <w:szCs w:val="27"/>
          <w:shd w:val="clear" w:fill="FFFFFF"/>
          <w:lang w:val="en-US" w:eastAsia="zh-CN"/>
        </w:rPr>
        <w:t>持平,</w:t>
      </w:r>
      <w:r>
        <w:rPr>
          <w:rFonts w:hint="default" w:ascii="Arial" w:hAnsi="Arial" w:eastAsia="宋体" w:cs="Arial"/>
          <w:i w:val="0"/>
          <w:caps w:val="0"/>
          <w:color w:val="000000"/>
          <w:spacing w:val="0"/>
          <w:sz w:val="27"/>
          <w:szCs w:val="27"/>
          <w:shd w:val="clear" w:fill="FFFFFF"/>
        </w:rPr>
        <w:t>原因</w:t>
      </w:r>
      <w:r>
        <w:rPr>
          <w:rFonts w:hint="eastAsia" w:ascii="Arial" w:hAnsi="Arial" w:eastAsia="宋体" w:cs="Arial"/>
          <w:i w:val="0"/>
          <w:caps w:val="0"/>
          <w:color w:val="000000"/>
          <w:spacing w:val="0"/>
          <w:sz w:val="27"/>
          <w:szCs w:val="27"/>
          <w:shd w:val="clear" w:fill="FFFFFF"/>
          <w:lang w:val="en-US" w:eastAsia="zh-CN"/>
        </w:rPr>
        <w:t>是</w:t>
      </w:r>
      <w:r>
        <w:rPr>
          <w:rFonts w:hint="default" w:ascii="Arial" w:hAnsi="Arial" w:eastAsia="宋体" w:cs="Arial"/>
          <w:i w:val="0"/>
          <w:caps w:val="0"/>
          <w:color w:val="000000"/>
          <w:spacing w:val="0"/>
          <w:sz w:val="27"/>
          <w:szCs w:val="27"/>
          <w:shd w:val="clear" w:fill="FFFFFF"/>
        </w:rPr>
        <w:t>我单位认真贯彻八项规定精神，从严控制支出。</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七、机关运行经费执行情况说明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 2021年度机关运行经费3.51万元，较2021年预算4.95万元相比减少了1.44万元。主要是将公务交通补贴纳入人员经费。</w:t>
      </w:r>
      <w:r>
        <w:rPr>
          <w:rFonts w:hint="eastAsia" w:ascii="Arial" w:hAnsi="Arial" w:eastAsia="宋体" w:cs="Arial"/>
          <w:i w:val="0"/>
          <w:caps w:val="0"/>
          <w:color w:val="000000"/>
          <w:spacing w:val="0"/>
          <w:sz w:val="27"/>
          <w:szCs w:val="27"/>
          <w:shd w:val="clear" w:fill="FFFFFF"/>
          <w:lang w:eastAsia="zh-CN"/>
        </w:rPr>
        <w:t>与</w:t>
      </w:r>
      <w:r>
        <w:rPr>
          <w:rFonts w:hint="eastAsia" w:ascii="Arial" w:hAnsi="Arial" w:eastAsia="宋体" w:cs="Arial"/>
          <w:i w:val="0"/>
          <w:caps w:val="0"/>
          <w:color w:val="000000"/>
          <w:spacing w:val="0"/>
          <w:sz w:val="27"/>
          <w:szCs w:val="27"/>
          <w:shd w:val="clear" w:fill="FFFFFF"/>
          <w:lang w:val="en-US" w:eastAsia="zh-CN"/>
        </w:rPr>
        <w:t>2020年决算数3.97万元相比减少0.46万元，主要是2020年将购置了沙发、椅子</w:t>
      </w:r>
      <w:r>
        <w:rPr>
          <w:rFonts w:hint="eastAsia" w:ascii="Arial" w:hAnsi="Arial" w:eastAsia="宋体" w:cs="Arial"/>
          <w:color w:val="000000"/>
          <w:kern w:val="0"/>
          <w:szCs w:val="21"/>
          <w:shd w:val="clear" w:color="auto" w:fill="FFFFFF"/>
          <w:lang w:val="en-US" w:eastAsia="zh-CN"/>
        </w:rPr>
        <w:t>。</w:t>
      </w:r>
      <w:r>
        <w:rPr>
          <w:rFonts w:hint="default" w:ascii="Arial" w:hAnsi="Arial" w:eastAsia="宋体" w:cs="Arial"/>
          <w:i w:val="0"/>
          <w:caps w:val="0"/>
          <w:color w:val="000000"/>
          <w:spacing w:val="0"/>
          <w:sz w:val="27"/>
          <w:szCs w:val="27"/>
          <w:shd w:val="clear" w:fill="FFFFFF"/>
        </w:rPr>
        <w:t>主要用于办公费0.39万元、水费0.05万元、电费1.17万元、邮电费0.11万元、差旅费0.01万元、日常维修费0.04万元、工会经费1.22万元、福利费0.52万元。</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八、政府采购执行情况说明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2021年度我单位政府采购预算计划金额4万元，其中一般公共预算4万元，其他资金0万元；主要用于购买货物3万元，工程0万元，服务1万元。 2021年政府采购授予中小企业合同总额4万元，占政府采购合同总额的100%；其中：授予小微企业合同金额4万元，占政府采购支出总额的100%。</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我单位政府实际采购金额17.74万元，其中一般公共预算0万元，其他资金17.74万元；主要用于购买货物0万元，工程17.74万元，服务0万元。2021年政府采购授予中小企业合同总额17.74万元，占政府采购合同总额的100%；其中：授予小微企业合同金额17.74万元，占政府采购支出总额的100%。</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政府采购支出总额比2020年度14.72万元增加3.02万元，增涨20.52%，主要原因:支付残疾人无障碍改造工程支出增加。</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九、国有资产占用情况说明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2021年度我单位共占有车辆数0台，其中：机要通信用车0台，应急保障用车0台，执法执勤用车0台，特种专用技术用车0台，其他用车0台；单价50万元以上通用设备0台；单价100万元以上专用设备0台。</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w:t>
      </w:r>
      <w:r>
        <w:rPr>
          <w:rStyle w:val="8"/>
          <w:rFonts w:hint="default" w:ascii="Arial" w:hAnsi="Arial" w:eastAsia="宋体" w:cs="Arial"/>
          <w:i w:val="0"/>
          <w:caps w:val="0"/>
          <w:color w:val="000000"/>
          <w:spacing w:val="0"/>
          <w:sz w:val="27"/>
          <w:szCs w:val="27"/>
          <w:shd w:val="clear" w:fill="FFFFFF"/>
        </w:rPr>
        <w:t>其他情况</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我单位无举借政府债务情况、无扶贫专项资金情况、无财政专项支出情况、无专项转移支付情况。</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Fonts w:hint="default" w:ascii="Arial" w:hAnsi="Arial" w:eastAsia="宋体" w:cs="Arial"/>
          <w:i w:val="0"/>
          <w:caps w:val="0"/>
          <w:color w:val="000000"/>
          <w:spacing w:val="0"/>
          <w:sz w:val="27"/>
          <w:szCs w:val="27"/>
          <w:shd w:val="clear" w:fill="FFFFFF"/>
        </w:rPr>
        <w:t>2021年度政府性基金预算财政拨款收入37.02万元，比上年政府性基金收入0万元相比增加37.02万元，2021年度政府性基金预算财政拨款支出37.02万元，比上年政府性基金支出0万元相比，增加37.02万元，系2021年有用彩票福利基金收入支出残疾儿童下半年机构康复费用支出。</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十一、预算绩效工作开展情况</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  （一）预算绩效管理工作开展情况</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根据预算绩效管理要求，我单位组织对2021年度一般公共预算项目支出全面开展绩效自评，共涉及项目1个，资金3万元，占一般公共预算项目支出总额的100％。从评价情况来看，下陆区残疾人联合会整体支出项目已经结束，年度绩效目标已经全部完成。通过实施这个项目，办公室及时掌握时事政治信息及提升人文化素养，对下陆区残疾人筛查工作，加强救治严重精神病患者肇事肇祸及残疾人合法权益进一步依法保障，坚守弱有所扶的原则立场，始终把推进残疾人事业当作应尽之责、</w:t>
      </w:r>
      <w:r>
        <w:rPr>
          <w:rFonts w:hint="eastAsia" w:ascii="Arial" w:hAnsi="Arial" w:eastAsia="宋体" w:cs="Arial"/>
          <w:i w:val="0"/>
          <w:caps w:val="0"/>
          <w:color w:val="000000"/>
          <w:spacing w:val="0"/>
          <w:sz w:val="27"/>
          <w:szCs w:val="27"/>
          <w:shd w:val="clear" w:fill="FFFFFF"/>
          <w:lang w:val="en-US" w:eastAsia="zh-CN"/>
        </w:rPr>
        <w:t>分</w:t>
      </w:r>
      <w:bookmarkStart w:id="0" w:name="_GoBack"/>
      <w:bookmarkEnd w:id="0"/>
      <w:r>
        <w:rPr>
          <w:rFonts w:hint="default" w:ascii="Arial" w:hAnsi="Arial" w:eastAsia="宋体" w:cs="Arial"/>
          <w:i w:val="0"/>
          <w:caps w:val="0"/>
          <w:color w:val="000000"/>
          <w:spacing w:val="0"/>
          <w:sz w:val="27"/>
          <w:szCs w:val="27"/>
          <w:shd w:val="clear" w:fill="FFFFFF"/>
        </w:rPr>
        <w:t>内之责。</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组织开展部门整体支出绩效评价，评价情况来看，区残联抓住重点，细化方案，建档立库。针对项目设置项目实施方案，明确项目内容、申报条件和审批流程等。区残联建立专门档案，完整反映计划执行的全过程，严格管理，加强监督检查。2021年，我单位对项目制定细化、明确的预算绩效目标和可考核、可量化的绩效指标，并加强对绩效目标的审核，将其作为预算编制和资金安排的前置条件和重要依据。加强对支出政策效果和资金使用绩效的监控，将预算绩效评价结果作为预算安排、政策调整的重要依据。</w:t>
      </w:r>
    </w:p>
    <w:tbl>
      <w:tblPr>
        <w:tblStyle w:val="6"/>
        <w:tblW w:w="9420" w:type="dxa"/>
        <w:tblInd w:w="0" w:type="dxa"/>
        <w:shd w:val="clear" w:color="auto" w:fill="auto"/>
        <w:tblLayout w:type="autofit"/>
        <w:tblCellMar>
          <w:top w:w="0" w:type="dxa"/>
          <w:left w:w="0" w:type="dxa"/>
          <w:bottom w:w="0" w:type="dxa"/>
          <w:right w:w="0" w:type="dxa"/>
        </w:tblCellMar>
      </w:tblPr>
      <w:tblGrid>
        <w:gridCol w:w="644"/>
        <w:gridCol w:w="629"/>
        <w:gridCol w:w="660"/>
        <w:gridCol w:w="405"/>
        <w:gridCol w:w="2516"/>
        <w:gridCol w:w="2181"/>
        <w:gridCol w:w="810"/>
        <w:gridCol w:w="825"/>
        <w:gridCol w:w="750"/>
      </w:tblGrid>
      <w:tr w14:paraId="08B9A28C">
        <w:tblPrEx>
          <w:shd w:val="clear" w:color="auto" w:fill="auto"/>
          <w:tblCellMar>
            <w:top w:w="0" w:type="dxa"/>
            <w:left w:w="0" w:type="dxa"/>
            <w:bottom w:w="0" w:type="dxa"/>
            <w:right w:w="0" w:type="dxa"/>
          </w:tblCellMar>
        </w:tblPrEx>
        <w:trPr>
          <w:trHeight w:val="559" w:hRule="atLeast"/>
        </w:trPr>
        <w:tc>
          <w:tcPr>
            <w:tcW w:w="9424" w:type="dxa"/>
            <w:gridSpan w:val="9"/>
            <w:tcBorders>
              <w:top w:val="nil"/>
              <w:left w:val="nil"/>
              <w:bottom w:val="nil"/>
              <w:right w:val="nil"/>
            </w:tcBorders>
            <w:shd w:val="clear" w:color="auto" w:fill="FFFFFF"/>
            <w:tcMar>
              <w:top w:w="15" w:type="dxa"/>
              <w:left w:w="15" w:type="dxa"/>
              <w:right w:w="15" w:type="dxa"/>
            </w:tcMar>
            <w:vAlign w:val="center"/>
          </w:tcPr>
          <w:p w14:paraId="522AF24D">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709B2FC4">
        <w:tblPrEx>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7B514">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5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F724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ACB76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F29A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14:paraId="7A125835">
        <w:tblPrEx>
          <w:shd w:val="clear" w:color="auto" w:fill="auto"/>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7D94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76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D921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黄石市下陆区残疾人联合会</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F1E3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1A2F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69E61B32">
        <w:tblPrEx>
          <w:shd w:val="clear" w:color="auto" w:fill="auto"/>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90BF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ADA6F">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65.55</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EC3A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D94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76.46</w:t>
            </w:r>
          </w:p>
        </w:tc>
      </w:tr>
      <w:tr w14:paraId="5FFA3B4B">
        <w:tblPrEx>
          <w:shd w:val="clear" w:color="auto" w:fill="auto"/>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9F46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E83F8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2B1A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95C2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609D19DA">
        <w:tblPrEx>
          <w:shd w:val="clear" w:color="auto" w:fill="auto"/>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D49E58">
            <w:pPr>
              <w:jc w:val="center"/>
              <w:rPr>
                <w:rFonts w:hint="eastAsia" w:ascii="仿宋_GB2312" w:hAnsi="宋体" w:eastAsia="仿宋_GB2312" w:cs="仿宋_GB2312"/>
                <w:i w:val="0"/>
                <w:color w:val="000000"/>
                <w:sz w:val="20"/>
                <w:szCs w:val="20"/>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A1D6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142.01</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94105">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68.3</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D9E9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207.92%</w:t>
            </w:r>
          </w:p>
        </w:tc>
      </w:tr>
      <w:tr w14:paraId="5C813D6C">
        <w:tblPrEx>
          <w:shd w:val="clear" w:color="auto" w:fill="auto"/>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DA001">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1C040">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7C84A">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D2FD9">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EA55B">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09BDB">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67D9A0">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E4340">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E1A2A">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14:paraId="7F5C68AC">
        <w:tblPrEx>
          <w:shd w:val="clear" w:color="auto" w:fill="auto"/>
          <w:tblCellMar>
            <w:top w:w="0" w:type="dxa"/>
            <w:left w:w="0" w:type="dxa"/>
            <w:bottom w:w="0" w:type="dxa"/>
            <w:right w:w="0" w:type="dxa"/>
          </w:tblCellMar>
        </w:tblPrEx>
        <w:trPr>
          <w:trHeight w:val="34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AEACE2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A555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C66A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0611D">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3A75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FBF4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32366">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68.3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C227C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142.01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696F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0774F1A1">
        <w:tblPrEx>
          <w:shd w:val="clear" w:color="auto" w:fill="auto"/>
          <w:tblCellMar>
            <w:top w:w="0" w:type="dxa"/>
            <w:left w:w="0" w:type="dxa"/>
            <w:bottom w:w="0" w:type="dxa"/>
            <w:right w:w="0" w:type="dxa"/>
          </w:tblCellMar>
        </w:tblPrEx>
        <w:trPr>
          <w:trHeight w:val="32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1738F4C">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F7024">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5257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ECAEB">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1482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3992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8C6A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68.3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5FB1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142.01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EC95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3C39BC43">
        <w:tblPrEx>
          <w:shd w:val="clear" w:color="auto" w:fill="auto"/>
          <w:tblCellMar>
            <w:top w:w="0" w:type="dxa"/>
            <w:left w:w="0" w:type="dxa"/>
            <w:bottom w:w="0" w:type="dxa"/>
            <w:right w:w="0" w:type="dxa"/>
          </w:tblCellMar>
        </w:tblPrEx>
        <w:trPr>
          <w:trHeight w:val="337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3F0C44C">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79953">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74836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EEC30">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8054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0C15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B2EC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68.3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BB5A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142.01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600D52">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69853A86">
        <w:tblPrEx>
          <w:shd w:val="clear" w:color="auto" w:fill="auto"/>
          <w:tblCellMar>
            <w:top w:w="0" w:type="dxa"/>
            <w:left w:w="0" w:type="dxa"/>
            <w:bottom w:w="0" w:type="dxa"/>
            <w:right w:w="0" w:type="dxa"/>
          </w:tblCellMar>
        </w:tblPrEx>
        <w:trPr>
          <w:trHeight w:val="1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84F0203">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10BA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4D18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3B6DC">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DB3A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616A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FC57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51DC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00B6C">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04BAFF5A">
        <w:tblPrEx>
          <w:shd w:val="clear" w:color="auto" w:fill="auto"/>
          <w:tblCellMar>
            <w:top w:w="0" w:type="dxa"/>
            <w:left w:w="0" w:type="dxa"/>
            <w:bottom w:w="0" w:type="dxa"/>
            <w:right w:w="0" w:type="dxa"/>
          </w:tblCellMar>
        </w:tblPrEx>
        <w:trPr>
          <w:trHeight w:val="16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18910B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BC7A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0506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82A4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D61A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B391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F8E5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3959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77B5F2">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06F15DF2">
        <w:tblPrEx>
          <w:shd w:val="clear" w:color="auto" w:fill="auto"/>
          <w:tblCellMar>
            <w:top w:w="0" w:type="dxa"/>
            <w:left w:w="0" w:type="dxa"/>
            <w:bottom w:w="0" w:type="dxa"/>
            <w:right w:w="0" w:type="dxa"/>
          </w:tblCellMar>
        </w:tblPrEx>
        <w:trPr>
          <w:trHeight w:val="22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42255ED">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E64CE">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90B3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3ECB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E33D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9630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2988C">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B3220">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F142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0ABC1CD7">
        <w:tblPrEx>
          <w:shd w:val="clear" w:color="auto" w:fill="auto"/>
          <w:tblCellMar>
            <w:top w:w="0" w:type="dxa"/>
            <w:left w:w="0" w:type="dxa"/>
            <w:bottom w:w="0" w:type="dxa"/>
            <w:right w:w="0" w:type="dxa"/>
          </w:tblCellMar>
        </w:tblPrEx>
        <w:trPr>
          <w:trHeight w:val="388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A427010">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D2AD6">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224F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2C4F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F30B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0F77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15C3E">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5CF67">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3DCB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1281EFBB">
        <w:tblPrEx>
          <w:shd w:val="clear" w:color="auto" w:fill="auto"/>
          <w:tblCellMar>
            <w:top w:w="0" w:type="dxa"/>
            <w:left w:w="0" w:type="dxa"/>
            <w:bottom w:w="0" w:type="dxa"/>
            <w:right w:w="0" w:type="dxa"/>
          </w:tblCellMar>
        </w:tblPrEx>
        <w:trPr>
          <w:trHeight w:val="10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A6C0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78A2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87D10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40ECF">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51CB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1866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E479D">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EF4E2">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EDBA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4D40FAE4">
        <w:tblPrEx>
          <w:tblCellMar>
            <w:top w:w="0" w:type="dxa"/>
            <w:left w:w="0" w:type="dxa"/>
            <w:bottom w:w="0" w:type="dxa"/>
            <w:right w:w="0" w:type="dxa"/>
          </w:tblCellMar>
        </w:tblPrEx>
        <w:trPr>
          <w:trHeight w:val="10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5EA12">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51854">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0120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C0C6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EE00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FB51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3398B">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811AA">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49D0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041B0755">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457A2">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836E3">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2F5C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72DC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B869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FCD7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FC67E">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49DBE">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20AE6">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1DF5DB85">
        <w:tblPrEx>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70764">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74E17">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6757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5C73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55FF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BA23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2EF38">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86F29">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36516">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3A23578B">
        <w:tblPrEx>
          <w:shd w:val="clear" w:color="auto" w:fill="auto"/>
          <w:tblCellMar>
            <w:top w:w="0" w:type="dxa"/>
            <w:left w:w="0" w:type="dxa"/>
            <w:bottom w:w="0" w:type="dxa"/>
            <w:right w:w="0" w:type="dxa"/>
          </w:tblCellMar>
        </w:tblPrEx>
        <w:trPr>
          <w:trHeight w:val="20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8E1A0">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1F51B9">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25D0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00AF9">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17F7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7370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E8C5A">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12F90">
            <w:pPr>
              <w:jc w:val="center"/>
              <w:rPr>
                <w:rFonts w:hint="eastAsia" w:ascii="楷体_GB2312" w:hAnsi="宋体" w:eastAsia="楷体_GB2312" w:cs="楷体_GB2312"/>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D8900">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14:paraId="1A8C7525">
        <w:tblPrEx>
          <w:tblCellMar>
            <w:top w:w="0" w:type="dxa"/>
            <w:left w:w="0" w:type="dxa"/>
            <w:bottom w:w="0" w:type="dxa"/>
            <w:right w:w="0" w:type="dxa"/>
          </w:tblCellMar>
        </w:tblPrEx>
        <w:trPr>
          <w:trHeight w:val="499" w:hRule="atLeast"/>
        </w:trPr>
        <w:tc>
          <w:tcPr>
            <w:tcW w:w="703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840A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88E7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8BD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bl>
    <w:p w14:paraId="2378AF0F">
      <w:pPr>
        <w:rPr>
          <w:rFonts w:hint="default" w:ascii="Arial" w:hAnsi="Arial" w:eastAsia="宋体" w:cs="Arial"/>
          <w:i w:val="0"/>
          <w:caps w:val="0"/>
          <w:color w:val="000000"/>
          <w:spacing w:val="0"/>
          <w:sz w:val="27"/>
          <w:szCs w:val="27"/>
          <w:shd w:val="clear" w:fill="FFFFFF"/>
        </w:rPr>
      </w:pP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（二）部门决算中项目绩效自评结果</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我部门今年在部门决算中反映所有项目绩效自评结果。</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残联专项经费绩效自评综述：</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项目全年预算数为3万元，执行数为3万元，完成预算100％。主要产出和效益：一是为办公室及时掌握时事政治信息及提升残疾人文化素养；二是加强精神病患者服药补贴，对易肇事肇祸精神病患者进行救助。</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下一步改进措施：一是根据年初制定的资金主要支出方向，定期进行预算执行分析工作，通过预算执行分析及时的发现并解决问题，以更好的实施全面预算管理。</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（三）绩效评级结果应用情况</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 1.部门绩效评价结果应用情况。</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区残联将建立评价结果和预算安排有机结合的机制，将上一年度绩效自评结果作为安排2022年度预算的基本依据，评价结果差的，调减该项目预算，评价结果好的，优先安排，并予以适当激励。 </w:t>
      </w:r>
    </w:p>
    <w:p w14:paraId="0F5E2C14">
      <w:pPr>
        <w:rPr>
          <w:rFonts w:hint="default" w:ascii="Arial" w:hAnsi="Arial" w:eastAsia="宋体" w:cs="Arial"/>
          <w:i w:val="0"/>
          <w:caps w:val="0"/>
          <w:color w:val="000000"/>
          <w:spacing w:val="0"/>
          <w:sz w:val="27"/>
          <w:szCs w:val="27"/>
          <w:shd w:val="clear" w:fill="FFFFFF"/>
        </w:rPr>
      </w:pPr>
    </w:p>
    <w:p w14:paraId="0E01E856">
      <w:pPr>
        <w:jc w:val="center"/>
        <w:rPr>
          <w:rFonts w:hint="eastAsia" w:ascii="Arial" w:hAnsi="Arial" w:eastAsia="宋体" w:cs="Arial"/>
          <w:i w:val="0"/>
          <w:caps w:val="0"/>
          <w:color w:val="000000"/>
          <w:spacing w:val="0"/>
          <w:sz w:val="27"/>
          <w:szCs w:val="27"/>
          <w:shd w:val="clear" w:fill="FFFFFF"/>
          <w:lang w:eastAsia="zh-CN"/>
        </w:rPr>
      </w:pPr>
      <w:r>
        <w:rPr>
          <w:rFonts w:hint="default" w:ascii="Arial" w:hAnsi="Arial" w:eastAsia="宋体" w:cs="Arial"/>
          <w:b/>
          <w:bCs/>
          <w:i w:val="0"/>
          <w:caps w:val="0"/>
          <w:color w:val="000000"/>
          <w:spacing w:val="0"/>
          <w:sz w:val="27"/>
          <w:szCs w:val="27"/>
          <w:shd w:val="clear" w:fill="FFFFFF"/>
        </w:rPr>
        <w:t>残联专项经费绩效自评</w:t>
      </w:r>
      <w:r>
        <w:rPr>
          <w:rFonts w:hint="eastAsia" w:ascii="Arial" w:hAnsi="Arial" w:eastAsia="宋体" w:cs="Arial"/>
          <w:b/>
          <w:bCs/>
          <w:i w:val="0"/>
          <w:caps w:val="0"/>
          <w:color w:val="000000"/>
          <w:spacing w:val="0"/>
          <w:sz w:val="27"/>
          <w:szCs w:val="27"/>
          <w:shd w:val="clear"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72468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D3BA713">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0BA218FA">
            <w:pPr>
              <w:rPr>
                <w:rFonts w:hint="eastAsia" w:ascii="Arial" w:eastAsia="宋体"/>
                <w:sz w:val="21"/>
                <w:lang w:eastAsia="zh-CN"/>
              </w:rPr>
            </w:pPr>
            <w:r>
              <w:rPr>
                <w:rFonts w:hint="eastAsia" w:ascii="Arial"/>
                <w:sz w:val="21"/>
                <w:lang w:eastAsia="zh-CN"/>
              </w:rPr>
              <w:t>残联专项经费项目</w:t>
            </w:r>
          </w:p>
        </w:tc>
      </w:tr>
      <w:tr w14:paraId="09FE1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5A663520">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79AE52CD">
            <w:pPr>
              <w:rPr>
                <w:rFonts w:ascii="Arial"/>
                <w:sz w:val="21"/>
              </w:rPr>
            </w:pPr>
            <w:r>
              <w:rPr>
                <w:rFonts w:hint="eastAsia" w:ascii="Arial"/>
                <w:sz w:val="21"/>
                <w:lang w:eastAsia="zh-CN"/>
              </w:rPr>
              <w:t>黄石市下陆区残疾人联合会</w:t>
            </w:r>
          </w:p>
        </w:tc>
        <w:tc>
          <w:tcPr>
            <w:tcW w:w="2516" w:type="dxa"/>
            <w:gridSpan w:val="3"/>
            <w:noWrap w:val="0"/>
            <w:vAlign w:val="top"/>
          </w:tcPr>
          <w:p w14:paraId="4F2D1825">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28B27F8D">
            <w:pPr>
              <w:rPr>
                <w:rFonts w:hint="eastAsia" w:ascii="Arial" w:eastAsia="宋体"/>
                <w:sz w:val="21"/>
                <w:lang w:eastAsia="zh-CN"/>
              </w:rPr>
            </w:pPr>
            <w:r>
              <w:rPr>
                <w:rFonts w:hint="eastAsia" w:ascii="Arial"/>
                <w:sz w:val="21"/>
                <w:lang w:eastAsia="zh-CN"/>
              </w:rPr>
              <w:t>黄石市下陆区残疾人联合会</w:t>
            </w:r>
          </w:p>
        </w:tc>
      </w:tr>
      <w:tr w14:paraId="6A189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6C35909">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9ED55E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9043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DBA317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086D05D3">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0A40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5B1FBE6">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07667B7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100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089EB6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167C81A">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9CBC14B">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77061822">
            <w:pPr>
              <w:rPr>
                <w:rFonts w:ascii="Arial"/>
                <w:sz w:val="21"/>
              </w:rPr>
            </w:pPr>
          </w:p>
        </w:tc>
        <w:tc>
          <w:tcPr>
            <w:tcW w:w="1329" w:type="dxa"/>
            <w:noWrap w:val="0"/>
            <w:vAlign w:val="top"/>
          </w:tcPr>
          <w:p w14:paraId="63E05640">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7FB4C61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1D680DC">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1D49B64">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0FC45AF">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406E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E96CE2C">
            <w:pPr>
              <w:rPr>
                <w:rFonts w:ascii="Arial"/>
                <w:sz w:val="21"/>
              </w:rPr>
            </w:pPr>
          </w:p>
        </w:tc>
        <w:tc>
          <w:tcPr>
            <w:tcW w:w="1119" w:type="dxa"/>
            <w:gridSpan w:val="2"/>
            <w:noWrap w:val="0"/>
            <w:vAlign w:val="top"/>
          </w:tcPr>
          <w:p w14:paraId="2D912685">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31085D01">
            <w:pPr>
              <w:rPr>
                <w:rFonts w:hint="eastAsia" w:ascii="Arial" w:eastAsia="宋体"/>
                <w:sz w:val="21"/>
                <w:lang w:val="en-US" w:eastAsia="zh-CN"/>
              </w:rPr>
            </w:pPr>
            <w:r>
              <w:rPr>
                <w:rFonts w:hint="eastAsia" w:ascii="Arial"/>
                <w:sz w:val="21"/>
                <w:lang w:val="en-US" w:eastAsia="zh-CN"/>
              </w:rPr>
              <w:t>3</w:t>
            </w:r>
          </w:p>
        </w:tc>
        <w:tc>
          <w:tcPr>
            <w:tcW w:w="1318" w:type="dxa"/>
            <w:gridSpan w:val="2"/>
            <w:noWrap w:val="0"/>
            <w:vAlign w:val="top"/>
          </w:tcPr>
          <w:p w14:paraId="65F80D63">
            <w:pPr>
              <w:rPr>
                <w:rFonts w:hint="eastAsia" w:ascii="Arial" w:eastAsia="宋体"/>
                <w:sz w:val="21"/>
                <w:lang w:val="en-US" w:eastAsia="zh-CN"/>
              </w:rPr>
            </w:pPr>
            <w:r>
              <w:rPr>
                <w:rFonts w:hint="eastAsia" w:ascii="Arial"/>
                <w:sz w:val="21"/>
                <w:lang w:val="en-US" w:eastAsia="zh-CN"/>
              </w:rPr>
              <w:t>3</w:t>
            </w:r>
          </w:p>
        </w:tc>
        <w:tc>
          <w:tcPr>
            <w:tcW w:w="1458" w:type="dxa"/>
            <w:noWrap w:val="0"/>
            <w:vAlign w:val="top"/>
          </w:tcPr>
          <w:p w14:paraId="3041C1DC">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7CF9043E">
            <w:pPr>
              <w:rPr>
                <w:rFonts w:hint="default" w:ascii="Arial" w:eastAsia="宋体"/>
                <w:sz w:val="21"/>
                <w:lang w:val="en-US" w:eastAsia="zh-CN"/>
              </w:rPr>
            </w:pPr>
            <w:r>
              <w:rPr>
                <w:rFonts w:hint="eastAsia" w:ascii="Arial"/>
                <w:sz w:val="21"/>
                <w:lang w:val="en-US" w:eastAsia="zh-CN"/>
              </w:rPr>
              <w:t>20</w:t>
            </w:r>
          </w:p>
        </w:tc>
      </w:tr>
      <w:tr w14:paraId="7876A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11DF6D68">
            <w:pPr>
              <w:spacing w:line="269" w:lineRule="auto"/>
              <w:rPr>
                <w:rFonts w:ascii="Arial"/>
                <w:sz w:val="21"/>
              </w:rPr>
            </w:pPr>
          </w:p>
          <w:p w14:paraId="4CFDF55E">
            <w:pPr>
              <w:spacing w:line="269" w:lineRule="auto"/>
              <w:rPr>
                <w:rFonts w:ascii="Arial"/>
                <w:sz w:val="21"/>
              </w:rPr>
            </w:pPr>
          </w:p>
          <w:p w14:paraId="0B52FE34">
            <w:pPr>
              <w:spacing w:line="269" w:lineRule="auto"/>
              <w:rPr>
                <w:rFonts w:ascii="Arial"/>
                <w:sz w:val="21"/>
              </w:rPr>
            </w:pPr>
          </w:p>
          <w:p w14:paraId="429513C4">
            <w:pPr>
              <w:spacing w:line="270" w:lineRule="auto"/>
              <w:rPr>
                <w:rFonts w:ascii="Arial"/>
                <w:sz w:val="21"/>
              </w:rPr>
            </w:pPr>
          </w:p>
          <w:p w14:paraId="7651603E">
            <w:pPr>
              <w:spacing w:line="270" w:lineRule="auto"/>
              <w:rPr>
                <w:rFonts w:ascii="Arial"/>
                <w:sz w:val="21"/>
              </w:rPr>
            </w:pPr>
          </w:p>
          <w:p w14:paraId="51FB7B23">
            <w:pPr>
              <w:spacing w:line="270" w:lineRule="auto"/>
              <w:rPr>
                <w:rFonts w:ascii="Arial"/>
                <w:sz w:val="21"/>
              </w:rPr>
            </w:pPr>
          </w:p>
          <w:p w14:paraId="1A07E82E">
            <w:pPr>
              <w:spacing w:line="270" w:lineRule="auto"/>
              <w:rPr>
                <w:rFonts w:ascii="Arial"/>
                <w:sz w:val="21"/>
              </w:rPr>
            </w:pPr>
          </w:p>
          <w:p w14:paraId="6B764302">
            <w:pPr>
              <w:jc w:val="center"/>
              <w:rPr>
                <w:b/>
                <w:bCs/>
              </w:rPr>
            </w:pPr>
          </w:p>
          <w:p w14:paraId="11ADF3F6">
            <w:pPr>
              <w:jc w:val="center"/>
              <w:rPr>
                <w:b/>
                <w:bCs/>
              </w:rPr>
            </w:pPr>
            <w:r>
              <w:rPr>
                <w:b/>
                <w:bCs/>
              </w:rPr>
              <w:t>年</w:t>
            </w:r>
          </w:p>
          <w:p w14:paraId="34019668">
            <w:pPr>
              <w:jc w:val="center"/>
              <w:rPr>
                <w:b/>
                <w:bCs/>
              </w:rPr>
            </w:pPr>
            <w:r>
              <w:rPr>
                <w:b/>
                <w:bCs/>
              </w:rPr>
              <w:t>度</w:t>
            </w:r>
          </w:p>
          <w:p w14:paraId="7709AAA2">
            <w:pPr>
              <w:jc w:val="center"/>
              <w:rPr>
                <w:b/>
                <w:bCs/>
              </w:rPr>
            </w:pPr>
            <w:r>
              <w:rPr>
                <w:b/>
                <w:bCs/>
              </w:rPr>
              <w:t>绩</w:t>
            </w:r>
          </w:p>
          <w:p w14:paraId="3E94920C">
            <w:pPr>
              <w:jc w:val="center"/>
              <w:rPr>
                <w:b/>
                <w:bCs/>
              </w:rPr>
            </w:pPr>
            <w:r>
              <w:rPr>
                <w:b/>
                <w:bCs/>
              </w:rPr>
              <w:t>效</w:t>
            </w:r>
          </w:p>
          <w:p w14:paraId="5FC20746">
            <w:pPr>
              <w:jc w:val="center"/>
              <w:rPr>
                <w:b/>
                <w:bCs/>
              </w:rPr>
            </w:pPr>
            <w:r>
              <w:rPr>
                <w:b/>
                <w:bCs/>
              </w:rPr>
              <w:t>目</w:t>
            </w:r>
          </w:p>
          <w:p w14:paraId="632A31D7">
            <w:pPr>
              <w:jc w:val="center"/>
              <w:rPr>
                <w:b/>
                <w:bCs/>
              </w:rPr>
            </w:pPr>
            <w:r>
              <w:rPr>
                <w:b/>
                <w:bCs/>
              </w:rPr>
              <w:t>标</w:t>
            </w:r>
          </w:p>
          <w:p w14:paraId="075CC612">
            <w:pPr>
              <w:jc w:val="center"/>
              <w:rPr>
                <w:b/>
                <w:bCs/>
              </w:rPr>
            </w:pPr>
            <w:r>
              <w:rPr>
                <w:b/>
                <w:bCs/>
              </w:rPr>
              <w:t>1</w:t>
            </w:r>
          </w:p>
          <w:p w14:paraId="1C97A247">
            <w:pPr>
              <w:jc w:val="center"/>
              <w:rPr>
                <w:rFonts w:ascii="宋体" w:hAnsi="宋体" w:eastAsia="宋体" w:cs="宋体"/>
                <w:sz w:val="22"/>
                <w:szCs w:val="22"/>
              </w:rPr>
            </w:pPr>
            <w:r>
              <w:rPr>
                <w:b/>
                <w:bCs/>
              </w:rPr>
              <w:t>(XX分 )</w:t>
            </w:r>
          </w:p>
        </w:tc>
        <w:tc>
          <w:tcPr>
            <w:tcW w:w="689" w:type="dxa"/>
            <w:noWrap w:val="0"/>
            <w:vAlign w:val="top"/>
          </w:tcPr>
          <w:p w14:paraId="5B1F549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7B601923">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573D10F2">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0DDFD28D">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FE74428">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DAA1E2C">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B1490C8">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2BB9966">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3A3C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0C90B46D">
            <w:pPr>
              <w:rPr>
                <w:rFonts w:ascii="Arial"/>
                <w:sz w:val="21"/>
              </w:rPr>
            </w:pPr>
          </w:p>
        </w:tc>
        <w:tc>
          <w:tcPr>
            <w:tcW w:w="689" w:type="dxa"/>
            <w:vMerge w:val="restart"/>
            <w:tcBorders>
              <w:bottom w:val="nil"/>
            </w:tcBorders>
            <w:noWrap w:val="0"/>
            <w:vAlign w:val="top"/>
          </w:tcPr>
          <w:p w14:paraId="11F9E28E">
            <w:pPr>
              <w:rPr>
                <w:b/>
                <w:bCs/>
              </w:rPr>
            </w:pPr>
          </w:p>
          <w:p w14:paraId="3FCF3691">
            <w:pPr>
              <w:rPr>
                <w:b/>
                <w:bCs/>
              </w:rPr>
            </w:pPr>
          </w:p>
          <w:p w14:paraId="509BDB48">
            <w:pPr>
              <w:rPr>
                <w:b/>
                <w:bCs/>
              </w:rPr>
            </w:pPr>
          </w:p>
          <w:p w14:paraId="7F004C3C">
            <w:pPr>
              <w:jc w:val="center"/>
              <w:rPr>
                <w:b/>
                <w:bCs/>
              </w:rPr>
            </w:pPr>
            <w:r>
              <w:rPr>
                <w:b/>
                <w:bCs/>
              </w:rPr>
              <w:t>产出</w:t>
            </w:r>
          </w:p>
          <w:p w14:paraId="3D3E84BD">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55A7B0D2">
            <w:pPr>
              <w:rPr>
                <w:rFonts w:hint="eastAsia" w:ascii="Arial" w:eastAsia="宋体"/>
                <w:sz w:val="21"/>
                <w:lang w:eastAsia="zh-CN"/>
              </w:rPr>
            </w:pPr>
            <w:r>
              <w:rPr>
                <w:rFonts w:hint="eastAsia" w:ascii="Arial"/>
                <w:sz w:val="21"/>
                <w:lang w:eastAsia="zh-CN"/>
              </w:rPr>
              <w:t>数量指标</w:t>
            </w:r>
          </w:p>
        </w:tc>
        <w:tc>
          <w:tcPr>
            <w:tcW w:w="2647" w:type="dxa"/>
            <w:gridSpan w:val="3"/>
            <w:noWrap w:val="0"/>
            <w:vAlign w:val="top"/>
          </w:tcPr>
          <w:p w14:paraId="0C6FD820">
            <w:pPr>
              <w:rPr>
                <w:rFonts w:hint="eastAsia" w:ascii="Arial" w:eastAsia="宋体"/>
                <w:sz w:val="21"/>
                <w:lang w:eastAsia="zh-CN"/>
              </w:rPr>
            </w:pPr>
            <w:r>
              <w:rPr>
                <w:rFonts w:hint="eastAsia" w:ascii="Arial"/>
                <w:sz w:val="21"/>
                <w:lang w:eastAsia="zh-CN"/>
              </w:rPr>
              <w:t>服务残疾人数</w:t>
            </w:r>
          </w:p>
        </w:tc>
        <w:tc>
          <w:tcPr>
            <w:tcW w:w="1458" w:type="dxa"/>
            <w:noWrap w:val="0"/>
            <w:vAlign w:val="top"/>
          </w:tcPr>
          <w:p w14:paraId="78DF6C2A">
            <w:pPr>
              <w:rPr>
                <w:rFonts w:hint="default" w:ascii="Arial" w:eastAsia="宋体"/>
                <w:sz w:val="21"/>
                <w:lang w:val="en-US" w:eastAsia="zh-CN"/>
              </w:rPr>
            </w:pPr>
            <w:r>
              <w:rPr>
                <w:rFonts w:hint="eastAsia" w:ascii="Arial"/>
                <w:sz w:val="21"/>
                <w:lang w:val="en-US" w:eastAsia="zh-CN"/>
              </w:rPr>
              <w:t>50</w:t>
            </w:r>
          </w:p>
        </w:tc>
        <w:tc>
          <w:tcPr>
            <w:tcW w:w="1318" w:type="dxa"/>
            <w:gridSpan w:val="2"/>
            <w:noWrap w:val="0"/>
            <w:vAlign w:val="top"/>
          </w:tcPr>
          <w:p w14:paraId="28882F47">
            <w:pPr>
              <w:rPr>
                <w:rFonts w:hint="default" w:ascii="Arial" w:eastAsia="宋体"/>
                <w:sz w:val="21"/>
                <w:lang w:val="en-US" w:eastAsia="zh-CN"/>
              </w:rPr>
            </w:pPr>
            <w:r>
              <w:rPr>
                <w:rFonts w:hint="eastAsia" w:ascii="Arial"/>
                <w:sz w:val="21"/>
                <w:lang w:val="en-US" w:eastAsia="zh-CN"/>
              </w:rPr>
              <w:t>50</w:t>
            </w:r>
          </w:p>
        </w:tc>
        <w:tc>
          <w:tcPr>
            <w:tcW w:w="884" w:type="dxa"/>
            <w:noWrap w:val="0"/>
            <w:vAlign w:val="top"/>
          </w:tcPr>
          <w:p w14:paraId="0C7812A1">
            <w:pPr>
              <w:rPr>
                <w:rFonts w:hint="default" w:ascii="Arial" w:eastAsia="宋体"/>
                <w:sz w:val="21"/>
                <w:lang w:val="en-US" w:eastAsia="zh-CN"/>
              </w:rPr>
            </w:pPr>
            <w:r>
              <w:rPr>
                <w:rFonts w:hint="eastAsia" w:ascii="Arial"/>
                <w:sz w:val="21"/>
                <w:lang w:val="en-US" w:eastAsia="zh-CN"/>
              </w:rPr>
              <w:t>16</w:t>
            </w:r>
          </w:p>
        </w:tc>
      </w:tr>
      <w:tr w14:paraId="2297F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F3BC190">
            <w:pPr>
              <w:rPr>
                <w:rFonts w:ascii="Arial"/>
                <w:sz w:val="21"/>
              </w:rPr>
            </w:pPr>
          </w:p>
        </w:tc>
        <w:tc>
          <w:tcPr>
            <w:tcW w:w="689" w:type="dxa"/>
            <w:vMerge w:val="continue"/>
            <w:tcBorders>
              <w:top w:val="nil"/>
              <w:bottom w:val="nil"/>
            </w:tcBorders>
            <w:noWrap w:val="0"/>
            <w:vAlign w:val="top"/>
          </w:tcPr>
          <w:p w14:paraId="07F0D8F6">
            <w:pPr>
              <w:rPr>
                <w:b/>
                <w:bCs/>
              </w:rPr>
            </w:pPr>
          </w:p>
        </w:tc>
        <w:tc>
          <w:tcPr>
            <w:tcW w:w="1119" w:type="dxa"/>
            <w:gridSpan w:val="2"/>
            <w:noWrap w:val="0"/>
            <w:vAlign w:val="top"/>
          </w:tcPr>
          <w:p w14:paraId="1B49B119">
            <w:pPr>
              <w:rPr>
                <w:rFonts w:ascii="Arial"/>
                <w:sz w:val="21"/>
              </w:rPr>
            </w:pPr>
          </w:p>
        </w:tc>
        <w:tc>
          <w:tcPr>
            <w:tcW w:w="2647" w:type="dxa"/>
            <w:gridSpan w:val="3"/>
            <w:noWrap w:val="0"/>
            <w:vAlign w:val="top"/>
          </w:tcPr>
          <w:p w14:paraId="32F9EEF6">
            <w:pPr>
              <w:rPr>
                <w:rFonts w:ascii="Arial"/>
                <w:sz w:val="21"/>
              </w:rPr>
            </w:pPr>
          </w:p>
        </w:tc>
        <w:tc>
          <w:tcPr>
            <w:tcW w:w="1458" w:type="dxa"/>
            <w:noWrap w:val="0"/>
            <w:vAlign w:val="top"/>
          </w:tcPr>
          <w:p w14:paraId="35CFBE4B">
            <w:pPr>
              <w:rPr>
                <w:rFonts w:ascii="Arial"/>
                <w:sz w:val="21"/>
              </w:rPr>
            </w:pPr>
          </w:p>
        </w:tc>
        <w:tc>
          <w:tcPr>
            <w:tcW w:w="1318" w:type="dxa"/>
            <w:gridSpan w:val="2"/>
            <w:noWrap w:val="0"/>
            <w:vAlign w:val="top"/>
          </w:tcPr>
          <w:p w14:paraId="2A75E500">
            <w:pPr>
              <w:rPr>
                <w:rFonts w:ascii="Arial"/>
                <w:sz w:val="21"/>
              </w:rPr>
            </w:pPr>
          </w:p>
        </w:tc>
        <w:tc>
          <w:tcPr>
            <w:tcW w:w="884" w:type="dxa"/>
            <w:noWrap w:val="0"/>
            <w:vAlign w:val="top"/>
          </w:tcPr>
          <w:p w14:paraId="7AD13766">
            <w:pPr>
              <w:rPr>
                <w:rFonts w:ascii="Arial"/>
                <w:sz w:val="21"/>
              </w:rPr>
            </w:pPr>
          </w:p>
        </w:tc>
      </w:tr>
      <w:tr w14:paraId="15D77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0976C8C">
            <w:pPr>
              <w:rPr>
                <w:rFonts w:ascii="Arial"/>
                <w:sz w:val="21"/>
              </w:rPr>
            </w:pPr>
          </w:p>
        </w:tc>
        <w:tc>
          <w:tcPr>
            <w:tcW w:w="689" w:type="dxa"/>
            <w:vMerge w:val="continue"/>
            <w:tcBorders>
              <w:top w:val="nil"/>
              <w:bottom w:val="nil"/>
            </w:tcBorders>
            <w:noWrap w:val="0"/>
            <w:vAlign w:val="top"/>
          </w:tcPr>
          <w:p w14:paraId="27C48B63">
            <w:pPr>
              <w:rPr>
                <w:b/>
                <w:bCs/>
              </w:rPr>
            </w:pPr>
          </w:p>
        </w:tc>
        <w:tc>
          <w:tcPr>
            <w:tcW w:w="1119" w:type="dxa"/>
            <w:gridSpan w:val="2"/>
            <w:noWrap w:val="0"/>
            <w:vAlign w:val="top"/>
          </w:tcPr>
          <w:p w14:paraId="14F4D6B2">
            <w:pPr>
              <w:spacing w:before="220"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质量指标</w:t>
            </w:r>
          </w:p>
        </w:tc>
        <w:tc>
          <w:tcPr>
            <w:tcW w:w="2647" w:type="dxa"/>
            <w:gridSpan w:val="3"/>
            <w:noWrap w:val="0"/>
            <w:vAlign w:val="top"/>
          </w:tcPr>
          <w:p w14:paraId="51FD7AAB">
            <w:pPr>
              <w:rPr>
                <w:rFonts w:hint="eastAsia" w:ascii="Arial" w:eastAsia="宋体"/>
                <w:sz w:val="21"/>
                <w:lang w:eastAsia="zh-CN"/>
              </w:rPr>
            </w:pPr>
            <w:r>
              <w:rPr>
                <w:rFonts w:hint="eastAsia" w:ascii="Arial"/>
                <w:sz w:val="21"/>
                <w:lang w:eastAsia="zh-CN"/>
              </w:rPr>
              <w:t>服务残疾质量</w:t>
            </w:r>
          </w:p>
        </w:tc>
        <w:tc>
          <w:tcPr>
            <w:tcW w:w="1458" w:type="dxa"/>
            <w:noWrap w:val="0"/>
            <w:vAlign w:val="top"/>
          </w:tcPr>
          <w:p w14:paraId="07FF4C92">
            <w:pPr>
              <w:rPr>
                <w:rFonts w:hint="eastAsia" w:ascii="Arial" w:eastAsia="宋体"/>
                <w:sz w:val="21"/>
                <w:lang w:eastAsia="zh-CN"/>
              </w:rPr>
            </w:pPr>
            <w:r>
              <w:rPr>
                <w:rFonts w:hint="eastAsia" w:ascii="Arial"/>
                <w:sz w:val="21"/>
                <w:lang w:eastAsia="zh-CN"/>
              </w:rPr>
              <w:t>有所提高</w:t>
            </w:r>
          </w:p>
        </w:tc>
        <w:tc>
          <w:tcPr>
            <w:tcW w:w="1318" w:type="dxa"/>
            <w:gridSpan w:val="2"/>
            <w:noWrap w:val="0"/>
            <w:vAlign w:val="top"/>
          </w:tcPr>
          <w:p w14:paraId="7C2B565E">
            <w:pPr>
              <w:rPr>
                <w:rFonts w:hint="eastAsia" w:ascii="Arial" w:eastAsia="宋体"/>
                <w:sz w:val="21"/>
                <w:lang w:eastAsia="zh-CN"/>
              </w:rPr>
            </w:pPr>
            <w:r>
              <w:rPr>
                <w:rFonts w:hint="eastAsia" w:ascii="Arial"/>
                <w:sz w:val="21"/>
                <w:lang w:eastAsia="zh-CN"/>
              </w:rPr>
              <w:t>有所提高</w:t>
            </w:r>
          </w:p>
        </w:tc>
        <w:tc>
          <w:tcPr>
            <w:tcW w:w="884" w:type="dxa"/>
            <w:noWrap w:val="0"/>
            <w:vAlign w:val="top"/>
          </w:tcPr>
          <w:p w14:paraId="73743E18">
            <w:pPr>
              <w:rPr>
                <w:rFonts w:hint="default" w:ascii="Arial" w:eastAsia="宋体"/>
                <w:sz w:val="21"/>
                <w:lang w:val="en-US" w:eastAsia="zh-CN"/>
              </w:rPr>
            </w:pPr>
            <w:r>
              <w:rPr>
                <w:rFonts w:hint="eastAsia" w:ascii="Arial"/>
                <w:sz w:val="21"/>
                <w:lang w:val="en-US" w:eastAsia="zh-CN"/>
              </w:rPr>
              <w:t>15</w:t>
            </w:r>
          </w:p>
        </w:tc>
      </w:tr>
      <w:tr w14:paraId="48853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2D8B532">
            <w:pPr>
              <w:rPr>
                <w:rFonts w:ascii="Arial"/>
                <w:sz w:val="21"/>
              </w:rPr>
            </w:pPr>
          </w:p>
        </w:tc>
        <w:tc>
          <w:tcPr>
            <w:tcW w:w="689" w:type="dxa"/>
            <w:vMerge w:val="continue"/>
            <w:tcBorders>
              <w:top w:val="nil"/>
            </w:tcBorders>
            <w:noWrap w:val="0"/>
            <w:vAlign w:val="top"/>
          </w:tcPr>
          <w:p w14:paraId="036DE175">
            <w:pPr>
              <w:rPr>
                <w:b/>
                <w:bCs/>
              </w:rPr>
            </w:pPr>
          </w:p>
        </w:tc>
        <w:tc>
          <w:tcPr>
            <w:tcW w:w="1119" w:type="dxa"/>
            <w:gridSpan w:val="2"/>
            <w:noWrap w:val="0"/>
            <w:vAlign w:val="top"/>
          </w:tcPr>
          <w:p w14:paraId="77496E61">
            <w:pPr>
              <w:spacing w:before="176" w:line="343"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t>时效指标</w:t>
            </w:r>
          </w:p>
        </w:tc>
        <w:tc>
          <w:tcPr>
            <w:tcW w:w="2647" w:type="dxa"/>
            <w:gridSpan w:val="3"/>
            <w:noWrap w:val="0"/>
            <w:vAlign w:val="top"/>
          </w:tcPr>
          <w:p w14:paraId="285CC236">
            <w:pPr>
              <w:rPr>
                <w:rFonts w:hint="eastAsia" w:ascii="Arial" w:eastAsia="宋体"/>
                <w:sz w:val="21"/>
                <w:lang w:eastAsia="zh-CN"/>
              </w:rPr>
            </w:pPr>
            <w:r>
              <w:rPr>
                <w:rFonts w:hint="eastAsia" w:ascii="Arial"/>
                <w:sz w:val="21"/>
                <w:lang w:eastAsia="zh-CN"/>
              </w:rPr>
              <w:t>服务残疾时长</w:t>
            </w:r>
          </w:p>
        </w:tc>
        <w:tc>
          <w:tcPr>
            <w:tcW w:w="1458" w:type="dxa"/>
            <w:noWrap w:val="0"/>
            <w:vAlign w:val="top"/>
          </w:tcPr>
          <w:p w14:paraId="2ED6CBE9">
            <w:pPr>
              <w:rPr>
                <w:rFonts w:hint="default" w:ascii="Arial" w:eastAsia="宋体"/>
                <w:sz w:val="21"/>
                <w:lang w:val="en-US" w:eastAsia="zh-CN"/>
              </w:rPr>
            </w:pPr>
            <w:r>
              <w:rPr>
                <w:rFonts w:hint="eastAsia" w:ascii="Arial"/>
                <w:sz w:val="21"/>
                <w:lang w:val="en-US" w:eastAsia="zh-CN"/>
              </w:rPr>
              <w:t>12个月</w:t>
            </w:r>
          </w:p>
        </w:tc>
        <w:tc>
          <w:tcPr>
            <w:tcW w:w="1318" w:type="dxa"/>
            <w:gridSpan w:val="2"/>
            <w:noWrap w:val="0"/>
            <w:vAlign w:val="top"/>
          </w:tcPr>
          <w:p w14:paraId="72D4C408">
            <w:pPr>
              <w:rPr>
                <w:rFonts w:hint="default" w:ascii="Arial" w:eastAsia="宋体"/>
                <w:sz w:val="21"/>
                <w:lang w:val="en-US" w:eastAsia="zh-CN"/>
              </w:rPr>
            </w:pPr>
            <w:r>
              <w:rPr>
                <w:rFonts w:hint="eastAsia" w:ascii="Arial"/>
                <w:sz w:val="21"/>
                <w:lang w:val="en-US" w:eastAsia="zh-CN"/>
              </w:rPr>
              <w:t>12个月</w:t>
            </w:r>
          </w:p>
        </w:tc>
        <w:tc>
          <w:tcPr>
            <w:tcW w:w="884" w:type="dxa"/>
            <w:noWrap w:val="0"/>
            <w:vAlign w:val="top"/>
          </w:tcPr>
          <w:p w14:paraId="3B525EB7">
            <w:pPr>
              <w:rPr>
                <w:rFonts w:hint="default" w:ascii="Arial" w:eastAsia="宋体"/>
                <w:sz w:val="21"/>
                <w:lang w:val="en-US" w:eastAsia="zh-CN"/>
              </w:rPr>
            </w:pPr>
            <w:r>
              <w:rPr>
                <w:rFonts w:hint="eastAsia" w:ascii="Arial"/>
                <w:sz w:val="21"/>
                <w:lang w:val="en-US" w:eastAsia="zh-CN"/>
              </w:rPr>
              <w:t>16</w:t>
            </w:r>
          </w:p>
        </w:tc>
      </w:tr>
      <w:tr w14:paraId="59842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27C1999D">
            <w:pPr>
              <w:rPr>
                <w:rFonts w:ascii="Arial"/>
                <w:sz w:val="21"/>
              </w:rPr>
            </w:pPr>
          </w:p>
        </w:tc>
        <w:tc>
          <w:tcPr>
            <w:tcW w:w="689" w:type="dxa"/>
            <w:vMerge w:val="restart"/>
            <w:tcBorders>
              <w:bottom w:val="nil"/>
            </w:tcBorders>
            <w:noWrap w:val="0"/>
            <w:vAlign w:val="top"/>
          </w:tcPr>
          <w:p w14:paraId="3168F883">
            <w:pPr>
              <w:jc w:val="center"/>
              <w:rPr>
                <w:rFonts w:ascii="Calibri" w:hAnsi="Calibri" w:eastAsia="宋体" w:cs="Times New Roman"/>
                <w:b/>
                <w:bCs/>
              </w:rPr>
            </w:pPr>
          </w:p>
          <w:p w14:paraId="33769B09">
            <w:pPr>
              <w:jc w:val="center"/>
              <w:rPr>
                <w:rFonts w:ascii="Calibri" w:hAnsi="Calibri" w:eastAsia="宋体" w:cs="Times New Roman"/>
                <w:b/>
                <w:bCs/>
              </w:rPr>
            </w:pPr>
          </w:p>
          <w:p w14:paraId="4EE63251">
            <w:pPr>
              <w:jc w:val="center"/>
              <w:rPr>
                <w:rFonts w:ascii="Calibri" w:hAnsi="Calibri" w:eastAsia="宋体" w:cs="Times New Roman"/>
                <w:b/>
                <w:bCs/>
              </w:rPr>
            </w:pPr>
          </w:p>
          <w:p w14:paraId="0C6AB48A">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07A448A0">
            <w:pPr>
              <w:spacing w:before="211" w:line="169"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经济效益</w:t>
            </w:r>
          </w:p>
        </w:tc>
        <w:tc>
          <w:tcPr>
            <w:tcW w:w="2647" w:type="dxa"/>
            <w:gridSpan w:val="3"/>
            <w:noWrap w:val="0"/>
            <w:vAlign w:val="top"/>
          </w:tcPr>
          <w:p w14:paraId="4C09A427">
            <w:pPr>
              <w:rPr>
                <w:rFonts w:hint="eastAsia" w:ascii="Arial" w:eastAsia="宋体"/>
                <w:sz w:val="21"/>
                <w:lang w:eastAsia="zh-CN"/>
              </w:rPr>
            </w:pPr>
            <w:r>
              <w:rPr>
                <w:rFonts w:hint="eastAsia" w:ascii="Arial"/>
                <w:sz w:val="21"/>
                <w:lang w:eastAsia="zh-CN"/>
              </w:rPr>
              <w:t>减轻残疾人家庭生活负担</w:t>
            </w:r>
          </w:p>
        </w:tc>
        <w:tc>
          <w:tcPr>
            <w:tcW w:w="1458" w:type="dxa"/>
            <w:noWrap w:val="0"/>
            <w:vAlign w:val="top"/>
          </w:tcPr>
          <w:p w14:paraId="6C1567EF">
            <w:pPr>
              <w:rPr>
                <w:rFonts w:hint="eastAsia" w:ascii="Arial" w:eastAsia="宋体"/>
                <w:sz w:val="21"/>
                <w:lang w:eastAsia="zh-CN"/>
              </w:rPr>
            </w:pPr>
            <w:r>
              <w:rPr>
                <w:rFonts w:hint="eastAsia" w:ascii="Arial"/>
                <w:sz w:val="21"/>
                <w:lang w:eastAsia="zh-CN"/>
              </w:rPr>
              <w:t>有所减轻</w:t>
            </w:r>
          </w:p>
        </w:tc>
        <w:tc>
          <w:tcPr>
            <w:tcW w:w="1318" w:type="dxa"/>
            <w:gridSpan w:val="2"/>
            <w:noWrap w:val="0"/>
            <w:vAlign w:val="top"/>
          </w:tcPr>
          <w:p w14:paraId="284CADE9">
            <w:pPr>
              <w:rPr>
                <w:rFonts w:hint="eastAsia" w:ascii="Arial" w:eastAsia="宋体"/>
                <w:sz w:val="21"/>
                <w:lang w:eastAsia="zh-CN"/>
              </w:rPr>
            </w:pPr>
            <w:r>
              <w:rPr>
                <w:rFonts w:hint="eastAsia" w:ascii="Arial"/>
                <w:sz w:val="21"/>
                <w:lang w:eastAsia="zh-CN"/>
              </w:rPr>
              <w:t>有所减轻</w:t>
            </w:r>
          </w:p>
        </w:tc>
        <w:tc>
          <w:tcPr>
            <w:tcW w:w="884" w:type="dxa"/>
            <w:noWrap w:val="0"/>
            <w:vAlign w:val="top"/>
          </w:tcPr>
          <w:p w14:paraId="775664A4">
            <w:pPr>
              <w:rPr>
                <w:rFonts w:hint="default" w:ascii="Arial" w:eastAsia="宋体"/>
                <w:sz w:val="21"/>
                <w:lang w:val="en-US" w:eastAsia="zh-CN"/>
              </w:rPr>
            </w:pPr>
            <w:r>
              <w:rPr>
                <w:rFonts w:hint="eastAsia" w:ascii="Arial"/>
                <w:sz w:val="21"/>
                <w:lang w:val="en-US" w:eastAsia="zh-CN"/>
              </w:rPr>
              <w:t>15</w:t>
            </w:r>
          </w:p>
        </w:tc>
      </w:tr>
      <w:tr w14:paraId="7F17F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282204C">
            <w:pPr>
              <w:rPr>
                <w:rFonts w:ascii="Arial"/>
                <w:sz w:val="21"/>
              </w:rPr>
            </w:pPr>
          </w:p>
        </w:tc>
        <w:tc>
          <w:tcPr>
            <w:tcW w:w="689" w:type="dxa"/>
            <w:vMerge w:val="continue"/>
            <w:tcBorders>
              <w:top w:val="nil"/>
              <w:bottom w:val="nil"/>
            </w:tcBorders>
            <w:noWrap w:val="0"/>
            <w:vAlign w:val="top"/>
          </w:tcPr>
          <w:p w14:paraId="70F2E2D2">
            <w:pPr>
              <w:jc w:val="center"/>
              <w:rPr>
                <w:rFonts w:ascii="Calibri" w:hAnsi="Calibri" w:eastAsia="宋体" w:cs="Times New Roman"/>
                <w:b/>
                <w:bCs/>
              </w:rPr>
            </w:pPr>
          </w:p>
        </w:tc>
        <w:tc>
          <w:tcPr>
            <w:tcW w:w="1119" w:type="dxa"/>
            <w:gridSpan w:val="2"/>
            <w:noWrap w:val="0"/>
            <w:vAlign w:val="top"/>
          </w:tcPr>
          <w:p w14:paraId="199B8872">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877618D">
            <w:pPr>
              <w:rPr>
                <w:rFonts w:ascii="Arial"/>
                <w:sz w:val="21"/>
              </w:rPr>
            </w:pPr>
          </w:p>
        </w:tc>
        <w:tc>
          <w:tcPr>
            <w:tcW w:w="1458" w:type="dxa"/>
            <w:noWrap w:val="0"/>
            <w:vAlign w:val="top"/>
          </w:tcPr>
          <w:p w14:paraId="47AC98E1">
            <w:pPr>
              <w:rPr>
                <w:rFonts w:ascii="Arial"/>
                <w:sz w:val="21"/>
              </w:rPr>
            </w:pPr>
          </w:p>
        </w:tc>
        <w:tc>
          <w:tcPr>
            <w:tcW w:w="1318" w:type="dxa"/>
            <w:gridSpan w:val="2"/>
            <w:noWrap w:val="0"/>
            <w:vAlign w:val="top"/>
          </w:tcPr>
          <w:p w14:paraId="309D7F0E">
            <w:pPr>
              <w:rPr>
                <w:rFonts w:ascii="Arial"/>
                <w:sz w:val="21"/>
              </w:rPr>
            </w:pPr>
          </w:p>
        </w:tc>
        <w:tc>
          <w:tcPr>
            <w:tcW w:w="884" w:type="dxa"/>
            <w:noWrap w:val="0"/>
            <w:vAlign w:val="top"/>
          </w:tcPr>
          <w:p w14:paraId="00F87715">
            <w:pPr>
              <w:rPr>
                <w:rFonts w:ascii="Arial"/>
                <w:sz w:val="21"/>
              </w:rPr>
            </w:pPr>
          </w:p>
        </w:tc>
      </w:tr>
      <w:tr w14:paraId="4C37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D998B30">
            <w:pPr>
              <w:rPr>
                <w:rFonts w:ascii="Arial"/>
                <w:sz w:val="21"/>
              </w:rPr>
            </w:pPr>
          </w:p>
        </w:tc>
        <w:tc>
          <w:tcPr>
            <w:tcW w:w="689" w:type="dxa"/>
            <w:vMerge w:val="continue"/>
            <w:tcBorders>
              <w:top w:val="nil"/>
              <w:bottom w:val="nil"/>
            </w:tcBorders>
            <w:noWrap w:val="0"/>
            <w:vAlign w:val="top"/>
          </w:tcPr>
          <w:p w14:paraId="3C26C7A0">
            <w:pPr>
              <w:jc w:val="center"/>
              <w:rPr>
                <w:rFonts w:ascii="Calibri" w:hAnsi="Calibri" w:eastAsia="宋体" w:cs="Times New Roman"/>
                <w:b/>
                <w:bCs/>
              </w:rPr>
            </w:pPr>
          </w:p>
        </w:tc>
        <w:tc>
          <w:tcPr>
            <w:tcW w:w="1119" w:type="dxa"/>
            <w:gridSpan w:val="2"/>
            <w:noWrap w:val="0"/>
            <w:vAlign w:val="top"/>
          </w:tcPr>
          <w:p w14:paraId="1B9A816B">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7F677AE">
            <w:pPr>
              <w:rPr>
                <w:rFonts w:ascii="Arial"/>
                <w:sz w:val="21"/>
              </w:rPr>
            </w:pPr>
          </w:p>
        </w:tc>
        <w:tc>
          <w:tcPr>
            <w:tcW w:w="1458" w:type="dxa"/>
            <w:noWrap w:val="0"/>
            <w:vAlign w:val="top"/>
          </w:tcPr>
          <w:p w14:paraId="777B671B">
            <w:pPr>
              <w:rPr>
                <w:rFonts w:ascii="Arial"/>
                <w:sz w:val="21"/>
              </w:rPr>
            </w:pPr>
          </w:p>
        </w:tc>
        <w:tc>
          <w:tcPr>
            <w:tcW w:w="1318" w:type="dxa"/>
            <w:gridSpan w:val="2"/>
            <w:noWrap w:val="0"/>
            <w:vAlign w:val="top"/>
          </w:tcPr>
          <w:p w14:paraId="3155F00E">
            <w:pPr>
              <w:rPr>
                <w:rFonts w:ascii="Arial"/>
                <w:sz w:val="21"/>
              </w:rPr>
            </w:pPr>
          </w:p>
        </w:tc>
        <w:tc>
          <w:tcPr>
            <w:tcW w:w="884" w:type="dxa"/>
            <w:noWrap w:val="0"/>
            <w:vAlign w:val="top"/>
          </w:tcPr>
          <w:p w14:paraId="08B5E53F">
            <w:pPr>
              <w:rPr>
                <w:rFonts w:ascii="Arial"/>
                <w:sz w:val="21"/>
              </w:rPr>
            </w:pPr>
          </w:p>
        </w:tc>
      </w:tr>
      <w:tr w14:paraId="21092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BD7545F">
            <w:pPr>
              <w:rPr>
                <w:rFonts w:ascii="Arial"/>
                <w:sz w:val="21"/>
              </w:rPr>
            </w:pPr>
          </w:p>
        </w:tc>
        <w:tc>
          <w:tcPr>
            <w:tcW w:w="689" w:type="dxa"/>
            <w:vMerge w:val="continue"/>
            <w:tcBorders>
              <w:top w:val="nil"/>
            </w:tcBorders>
            <w:noWrap w:val="0"/>
            <w:vAlign w:val="top"/>
          </w:tcPr>
          <w:p w14:paraId="0D43AD6D">
            <w:pPr>
              <w:jc w:val="center"/>
              <w:rPr>
                <w:rFonts w:ascii="Calibri" w:hAnsi="Calibri" w:eastAsia="宋体" w:cs="Times New Roman"/>
                <w:b/>
                <w:bCs/>
              </w:rPr>
            </w:pPr>
          </w:p>
        </w:tc>
        <w:tc>
          <w:tcPr>
            <w:tcW w:w="1119" w:type="dxa"/>
            <w:gridSpan w:val="2"/>
            <w:noWrap w:val="0"/>
            <w:vAlign w:val="top"/>
          </w:tcPr>
          <w:p w14:paraId="1B0FB925">
            <w:pPr>
              <w:rPr>
                <w:rFonts w:ascii="Arial"/>
                <w:sz w:val="21"/>
              </w:rPr>
            </w:pPr>
          </w:p>
        </w:tc>
        <w:tc>
          <w:tcPr>
            <w:tcW w:w="2647" w:type="dxa"/>
            <w:gridSpan w:val="3"/>
            <w:noWrap w:val="0"/>
            <w:vAlign w:val="top"/>
          </w:tcPr>
          <w:p w14:paraId="788DE590">
            <w:pPr>
              <w:rPr>
                <w:rFonts w:ascii="Arial"/>
                <w:sz w:val="21"/>
              </w:rPr>
            </w:pPr>
          </w:p>
        </w:tc>
        <w:tc>
          <w:tcPr>
            <w:tcW w:w="1458" w:type="dxa"/>
            <w:noWrap w:val="0"/>
            <w:vAlign w:val="top"/>
          </w:tcPr>
          <w:p w14:paraId="04B7C7FA">
            <w:pPr>
              <w:rPr>
                <w:rFonts w:ascii="Arial"/>
                <w:sz w:val="21"/>
              </w:rPr>
            </w:pPr>
          </w:p>
        </w:tc>
        <w:tc>
          <w:tcPr>
            <w:tcW w:w="1318" w:type="dxa"/>
            <w:gridSpan w:val="2"/>
            <w:noWrap w:val="0"/>
            <w:vAlign w:val="top"/>
          </w:tcPr>
          <w:p w14:paraId="0A792A2D">
            <w:pPr>
              <w:rPr>
                <w:rFonts w:ascii="Arial"/>
                <w:sz w:val="21"/>
              </w:rPr>
            </w:pPr>
          </w:p>
        </w:tc>
        <w:tc>
          <w:tcPr>
            <w:tcW w:w="884" w:type="dxa"/>
            <w:noWrap w:val="0"/>
            <w:vAlign w:val="top"/>
          </w:tcPr>
          <w:p w14:paraId="6DEB090B">
            <w:pPr>
              <w:rPr>
                <w:rFonts w:ascii="Arial"/>
                <w:sz w:val="21"/>
              </w:rPr>
            </w:pPr>
          </w:p>
        </w:tc>
      </w:tr>
      <w:tr w14:paraId="47BB7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AB0E8FA">
            <w:pPr>
              <w:rPr>
                <w:rFonts w:ascii="Arial"/>
                <w:sz w:val="21"/>
              </w:rPr>
            </w:pPr>
          </w:p>
        </w:tc>
        <w:tc>
          <w:tcPr>
            <w:tcW w:w="689" w:type="dxa"/>
            <w:vMerge w:val="restart"/>
            <w:tcBorders>
              <w:bottom w:val="nil"/>
            </w:tcBorders>
            <w:noWrap w:val="0"/>
            <w:vAlign w:val="top"/>
          </w:tcPr>
          <w:p w14:paraId="068AB152">
            <w:pPr>
              <w:jc w:val="center"/>
              <w:rPr>
                <w:rFonts w:ascii="Calibri" w:hAnsi="Calibri" w:eastAsia="宋体" w:cs="Times New Roman"/>
                <w:b/>
                <w:bCs/>
              </w:rPr>
            </w:pPr>
            <w:r>
              <w:rPr>
                <w:rFonts w:ascii="Calibri" w:hAnsi="Calibri" w:eastAsia="宋体" w:cs="Times New Roman"/>
                <w:b/>
                <w:bCs/>
              </w:rPr>
              <w:t>满意</w:t>
            </w:r>
          </w:p>
          <w:p w14:paraId="53216C80">
            <w:pPr>
              <w:jc w:val="center"/>
              <w:rPr>
                <w:rFonts w:ascii="Calibri" w:hAnsi="Calibri" w:eastAsia="宋体" w:cs="Times New Roman"/>
                <w:b/>
                <w:bCs/>
              </w:rPr>
            </w:pPr>
            <w:r>
              <w:rPr>
                <w:rFonts w:ascii="Calibri" w:hAnsi="Calibri" w:eastAsia="宋体" w:cs="Times New Roman"/>
                <w:b/>
                <w:bCs/>
              </w:rPr>
              <w:t>度指</w:t>
            </w:r>
          </w:p>
          <w:p w14:paraId="08B1A8D2">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093065C8">
            <w:pPr>
              <w:spacing w:before="224"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服务残疾人满意度指标</w:t>
            </w:r>
          </w:p>
        </w:tc>
        <w:tc>
          <w:tcPr>
            <w:tcW w:w="2647" w:type="dxa"/>
            <w:gridSpan w:val="3"/>
            <w:noWrap w:val="0"/>
            <w:vAlign w:val="top"/>
          </w:tcPr>
          <w:p w14:paraId="3A109C9A">
            <w:pPr>
              <w:rPr>
                <w:rFonts w:hint="eastAsia" w:ascii="Arial" w:eastAsia="宋体"/>
                <w:sz w:val="21"/>
                <w:lang w:eastAsia="zh-CN"/>
              </w:rPr>
            </w:pPr>
            <w:r>
              <w:rPr>
                <w:rFonts w:hint="eastAsia" w:ascii="Arial"/>
                <w:sz w:val="21"/>
                <w:lang w:eastAsia="zh-CN"/>
              </w:rPr>
              <w:t>残疾人家庭满意率</w:t>
            </w:r>
          </w:p>
        </w:tc>
        <w:tc>
          <w:tcPr>
            <w:tcW w:w="1458" w:type="dxa"/>
            <w:noWrap w:val="0"/>
            <w:vAlign w:val="top"/>
          </w:tcPr>
          <w:p w14:paraId="5168ED2B">
            <w:pPr>
              <w:rPr>
                <w:rFonts w:hint="default" w:ascii="Arial" w:eastAsia="宋体"/>
                <w:sz w:val="21"/>
                <w:lang w:val="en-US" w:eastAsia="zh-CN"/>
              </w:rPr>
            </w:pPr>
            <w:r>
              <w:rPr>
                <w:rFonts w:hint="eastAsia" w:ascii="Arial"/>
                <w:sz w:val="21"/>
                <w:lang w:val="en-US" w:eastAsia="zh-CN"/>
              </w:rPr>
              <w:t>85%</w:t>
            </w:r>
          </w:p>
        </w:tc>
        <w:tc>
          <w:tcPr>
            <w:tcW w:w="1318" w:type="dxa"/>
            <w:gridSpan w:val="2"/>
            <w:noWrap w:val="0"/>
            <w:vAlign w:val="top"/>
          </w:tcPr>
          <w:p w14:paraId="761885AF">
            <w:pPr>
              <w:rPr>
                <w:rFonts w:hint="default" w:ascii="Arial" w:eastAsia="宋体"/>
                <w:sz w:val="21"/>
                <w:lang w:val="en-US" w:eastAsia="zh-CN"/>
              </w:rPr>
            </w:pPr>
            <w:r>
              <w:rPr>
                <w:rFonts w:hint="eastAsia" w:ascii="Arial"/>
                <w:sz w:val="21"/>
                <w:lang w:val="en-US" w:eastAsia="zh-CN"/>
              </w:rPr>
              <w:t>90%</w:t>
            </w:r>
          </w:p>
        </w:tc>
        <w:tc>
          <w:tcPr>
            <w:tcW w:w="884" w:type="dxa"/>
            <w:noWrap w:val="0"/>
            <w:vAlign w:val="top"/>
          </w:tcPr>
          <w:p w14:paraId="11992A59">
            <w:pPr>
              <w:rPr>
                <w:rFonts w:hint="default" w:ascii="Arial" w:eastAsia="宋体"/>
                <w:sz w:val="21"/>
                <w:lang w:val="en-US" w:eastAsia="zh-CN"/>
              </w:rPr>
            </w:pPr>
            <w:r>
              <w:rPr>
                <w:rFonts w:hint="eastAsia" w:ascii="Arial"/>
                <w:sz w:val="21"/>
                <w:lang w:val="en-US" w:eastAsia="zh-CN"/>
              </w:rPr>
              <w:t>15</w:t>
            </w:r>
          </w:p>
        </w:tc>
      </w:tr>
      <w:tr w14:paraId="36284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3600998F">
            <w:pPr>
              <w:rPr>
                <w:rFonts w:ascii="Arial"/>
                <w:sz w:val="21"/>
              </w:rPr>
            </w:pPr>
          </w:p>
        </w:tc>
        <w:tc>
          <w:tcPr>
            <w:tcW w:w="689" w:type="dxa"/>
            <w:vMerge w:val="continue"/>
            <w:tcBorders>
              <w:top w:val="nil"/>
            </w:tcBorders>
            <w:noWrap w:val="0"/>
            <w:vAlign w:val="top"/>
          </w:tcPr>
          <w:p w14:paraId="7183B148">
            <w:pPr>
              <w:rPr>
                <w:rFonts w:ascii="Arial"/>
                <w:sz w:val="21"/>
              </w:rPr>
            </w:pPr>
          </w:p>
        </w:tc>
        <w:tc>
          <w:tcPr>
            <w:tcW w:w="1119" w:type="dxa"/>
            <w:gridSpan w:val="2"/>
            <w:noWrap w:val="0"/>
            <w:vAlign w:val="top"/>
          </w:tcPr>
          <w:p w14:paraId="75792A36">
            <w:pPr>
              <w:rPr>
                <w:rFonts w:ascii="Arial"/>
                <w:sz w:val="21"/>
              </w:rPr>
            </w:pPr>
          </w:p>
        </w:tc>
        <w:tc>
          <w:tcPr>
            <w:tcW w:w="2647" w:type="dxa"/>
            <w:gridSpan w:val="3"/>
            <w:noWrap w:val="0"/>
            <w:vAlign w:val="top"/>
          </w:tcPr>
          <w:p w14:paraId="641F9539">
            <w:pPr>
              <w:rPr>
                <w:rFonts w:ascii="Arial"/>
                <w:sz w:val="21"/>
              </w:rPr>
            </w:pPr>
          </w:p>
        </w:tc>
        <w:tc>
          <w:tcPr>
            <w:tcW w:w="1458" w:type="dxa"/>
            <w:noWrap w:val="0"/>
            <w:vAlign w:val="top"/>
          </w:tcPr>
          <w:p w14:paraId="6EB5A581">
            <w:pPr>
              <w:rPr>
                <w:rFonts w:ascii="Arial"/>
                <w:sz w:val="21"/>
              </w:rPr>
            </w:pPr>
          </w:p>
        </w:tc>
        <w:tc>
          <w:tcPr>
            <w:tcW w:w="1318" w:type="dxa"/>
            <w:gridSpan w:val="2"/>
            <w:noWrap w:val="0"/>
            <w:vAlign w:val="top"/>
          </w:tcPr>
          <w:p w14:paraId="20C6439C">
            <w:pPr>
              <w:rPr>
                <w:rFonts w:ascii="Arial"/>
                <w:sz w:val="21"/>
              </w:rPr>
            </w:pPr>
          </w:p>
        </w:tc>
        <w:tc>
          <w:tcPr>
            <w:tcW w:w="884" w:type="dxa"/>
            <w:noWrap w:val="0"/>
            <w:vAlign w:val="top"/>
          </w:tcPr>
          <w:p w14:paraId="11DB0AFE">
            <w:pPr>
              <w:rPr>
                <w:rFonts w:ascii="Arial"/>
                <w:sz w:val="21"/>
              </w:rPr>
            </w:pPr>
          </w:p>
        </w:tc>
      </w:tr>
      <w:tr w14:paraId="1FAD8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E08DC9A">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398FC8E2">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0AC09BD8">
            <w:pPr>
              <w:rPr>
                <w:rFonts w:ascii="Arial"/>
                <w:sz w:val="21"/>
              </w:rPr>
            </w:pPr>
          </w:p>
        </w:tc>
        <w:tc>
          <w:tcPr>
            <w:tcW w:w="1119" w:type="dxa"/>
            <w:gridSpan w:val="2"/>
            <w:noWrap w:val="0"/>
            <w:vAlign w:val="top"/>
          </w:tcPr>
          <w:p w14:paraId="66D6230D">
            <w:pPr>
              <w:rPr>
                <w:rFonts w:ascii="Arial"/>
                <w:sz w:val="21"/>
              </w:rPr>
            </w:pPr>
          </w:p>
        </w:tc>
        <w:tc>
          <w:tcPr>
            <w:tcW w:w="2647" w:type="dxa"/>
            <w:gridSpan w:val="3"/>
            <w:noWrap w:val="0"/>
            <w:vAlign w:val="top"/>
          </w:tcPr>
          <w:p w14:paraId="37AC83BB">
            <w:pPr>
              <w:rPr>
                <w:rFonts w:ascii="Arial"/>
                <w:sz w:val="21"/>
              </w:rPr>
            </w:pPr>
          </w:p>
        </w:tc>
        <w:tc>
          <w:tcPr>
            <w:tcW w:w="1458" w:type="dxa"/>
            <w:noWrap w:val="0"/>
            <w:vAlign w:val="top"/>
          </w:tcPr>
          <w:p w14:paraId="02BACA79">
            <w:pPr>
              <w:rPr>
                <w:rFonts w:ascii="Arial"/>
                <w:sz w:val="21"/>
              </w:rPr>
            </w:pPr>
          </w:p>
        </w:tc>
        <w:tc>
          <w:tcPr>
            <w:tcW w:w="1318" w:type="dxa"/>
            <w:gridSpan w:val="2"/>
            <w:noWrap w:val="0"/>
            <w:vAlign w:val="top"/>
          </w:tcPr>
          <w:p w14:paraId="7242753D">
            <w:pPr>
              <w:rPr>
                <w:rFonts w:ascii="Arial"/>
                <w:sz w:val="21"/>
              </w:rPr>
            </w:pPr>
          </w:p>
        </w:tc>
        <w:tc>
          <w:tcPr>
            <w:tcW w:w="884" w:type="dxa"/>
            <w:noWrap w:val="0"/>
            <w:vAlign w:val="top"/>
          </w:tcPr>
          <w:p w14:paraId="26A4E5E2">
            <w:pPr>
              <w:rPr>
                <w:rFonts w:ascii="Arial"/>
                <w:sz w:val="21"/>
              </w:rPr>
            </w:pPr>
          </w:p>
        </w:tc>
      </w:tr>
      <w:tr w14:paraId="26953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51524AF6">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2DFF1855">
            <w:pPr>
              <w:rPr>
                <w:rFonts w:ascii="Arial"/>
                <w:sz w:val="21"/>
              </w:rPr>
            </w:pPr>
          </w:p>
        </w:tc>
        <w:tc>
          <w:tcPr>
            <w:tcW w:w="1119" w:type="dxa"/>
            <w:gridSpan w:val="2"/>
            <w:noWrap w:val="0"/>
            <w:vAlign w:val="top"/>
          </w:tcPr>
          <w:p w14:paraId="3447053E">
            <w:pPr>
              <w:rPr>
                <w:rFonts w:ascii="Arial"/>
                <w:sz w:val="21"/>
              </w:rPr>
            </w:pPr>
          </w:p>
        </w:tc>
        <w:tc>
          <w:tcPr>
            <w:tcW w:w="2647" w:type="dxa"/>
            <w:gridSpan w:val="3"/>
            <w:noWrap w:val="0"/>
            <w:vAlign w:val="top"/>
          </w:tcPr>
          <w:p w14:paraId="6ED59023">
            <w:pPr>
              <w:rPr>
                <w:rFonts w:ascii="Arial"/>
                <w:sz w:val="21"/>
              </w:rPr>
            </w:pPr>
          </w:p>
        </w:tc>
        <w:tc>
          <w:tcPr>
            <w:tcW w:w="1458" w:type="dxa"/>
            <w:noWrap w:val="0"/>
            <w:vAlign w:val="top"/>
          </w:tcPr>
          <w:p w14:paraId="1BA7BB30">
            <w:pPr>
              <w:rPr>
                <w:rFonts w:ascii="Arial"/>
                <w:sz w:val="21"/>
              </w:rPr>
            </w:pPr>
          </w:p>
        </w:tc>
        <w:tc>
          <w:tcPr>
            <w:tcW w:w="1318" w:type="dxa"/>
            <w:gridSpan w:val="2"/>
            <w:noWrap w:val="0"/>
            <w:vAlign w:val="top"/>
          </w:tcPr>
          <w:p w14:paraId="6B9CBB6D">
            <w:pPr>
              <w:rPr>
                <w:rFonts w:ascii="Arial"/>
                <w:sz w:val="21"/>
              </w:rPr>
            </w:pPr>
          </w:p>
        </w:tc>
        <w:tc>
          <w:tcPr>
            <w:tcW w:w="884" w:type="dxa"/>
            <w:noWrap w:val="0"/>
            <w:vAlign w:val="top"/>
          </w:tcPr>
          <w:p w14:paraId="17183B1E">
            <w:pPr>
              <w:rPr>
                <w:rFonts w:ascii="Arial"/>
                <w:sz w:val="21"/>
              </w:rPr>
            </w:pPr>
          </w:p>
        </w:tc>
      </w:tr>
      <w:tr w14:paraId="34E5A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75E4C3CC">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3434807E">
            <w:pPr>
              <w:rPr>
                <w:rFonts w:hint="default" w:ascii="Arial" w:eastAsia="宋体"/>
                <w:sz w:val="21"/>
                <w:lang w:val="en-US" w:eastAsia="zh-CN"/>
              </w:rPr>
            </w:pPr>
            <w:r>
              <w:rPr>
                <w:rFonts w:hint="eastAsia" w:ascii="Arial"/>
                <w:sz w:val="21"/>
                <w:lang w:val="en-US" w:eastAsia="zh-CN"/>
              </w:rPr>
              <w:t>97</w:t>
            </w:r>
          </w:p>
        </w:tc>
      </w:tr>
      <w:tr w14:paraId="1C73D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523" w:type="dxa"/>
            <w:gridSpan w:val="3"/>
            <w:noWrap w:val="0"/>
            <w:vAlign w:val="top"/>
          </w:tcPr>
          <w:p w14:paraId="56943A21">
            <w:pPr>
              <w:spacing w:line="242" w:lineRule="auto"/>
              <w:rPr>
                <w:rFonts w:ascii="Arial"/>
                <w:sz w:val="21"/>
              </w:rPr>
            </w:pPr>
          </w:p>
          <w:p w14:paraId="26EF2C18">
            <w:pPr>
              <w:spacing w:line="242" w:lineRule="auto"/>
              <w:rPr>
                <w:rFonts w:ascii="Arial"/>
                <w:b/>
                <w:bCs/>
                <w:sz w:val="21"/>
              </w:rPr>
            </w:pPr>
          </w:p>
          <w:p w14:paraId="64FBCAF6">
            <w:pPr>
              <w:jc w:val="center"/>
              <w:rPr>
                <w:b/>
                <w:bCs/>
              </w:rPr>
            </w:pPr>
            <w:r>
              <w:rPr>
                <w:b/>
                <w:bCs/>
              </w:rPr>
              <w:t>偏差大或</w:t>
            </w:r>
          </w:p>
          <w:p w14:paraId="6182C906">
            <w:pPr>
              <w:jc w:val="center"/>
              <w:rPr>
                <w:b/>
                <w:bCs/>
              </w:rPr>
            </w:pPr>
            <w:r>
              <w:rPr>
                <w:b/>
                <w:bCs/>
              </w:rPr>
              <w:t>目标未完成</w:t>
            </w:r>
          </w:p>
          <w:p w14:paraId="17C4F808">
            <w:pPr>
              <w:jc w:val="center"/>
              <w:rPr>
                <w:rFonts w:ascii="宋体" w:hAnsi="宋体" w:eastAsia="宋体" w:cs="宋体"/>
                <w:sz w:val="20"/>
                <w:szCs w:val="20"/>
              </w:rPr>
            </w:pPr>
            <w:r>
              <w:rPr>
                <w:b/>
                <w:bCs/>
              </w:rPr>
              <w:t>原因分析</w:t>
            </w:r>
          </w:p>
        </w:tc>
        <w:tc>
          <w:tcPr>
            <w:tcW w:w="7406" w:type="dxa"/>
            <w:gridSpan w:val="8"/>
            <w:noWrap w:val="0"/>
            <w:vAlign w:val="top"/>
          </w:tcPr>
          <w:p w14:paraId="04FF9929">
            <w:pPr>
              <w:jc w:val="center"/>
              <w:rPr>
                <w:rFonts w:hint="eastAsia" w:ascii="Arial" w:eastAsiaTheme="minorEastAsia"/>
                <w:sz w:val="21"/>
                <w:lang w:eastAsia="zh-CN"/>
              </w:rPr>
            </w:pPr>
            <w:r>
              <w:rPr>
                <w:rFonts w:hint="eastAsia" w:ascii="Arial"/>
                <w:sz w:val="21"/>
                <w:lang w:eastAsia="zh-CN"/>
              </w:rPr>
              <w:t>无</w:t>
            </w:r>
          </w:p>
        </w:tc>
      </w:tr>
      <w:tr w14:paraId="39469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1523" w:type="dxa"/>
            <w:gridSpan w:val="3"/>
            <w:noWrap w:val="0"/>
            <w:vAlign w:val="top"/>
          </w:tcPr>
          <w:p w14:paraId="1BAC7F85">
            <w:pPr>
              <w:spacing w:line="269" w:lineRule="auto"/>
              <w:rPr>
                <w:rFonts w:ascii="Arial"/>
                <w:sz w:val="21"/>
              </w:rPr>
            </w:pPr>
          </w:p>
          <w:p w14:paraId="2FDB8F88">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3BF89F9A">
            <w:pPr>
              <w:jc w:val="center"/>
              <w:rPr>
                <w:rFonts w:hint="eastAsia" w:ascii="Arial" w:eastAsiaTheme="minorEastAsia"/>
                <w:sz w:val="21"/>
                <w:lang w:eastAsia="zh-CN"/>
              </w:rPr>
            </w:pPr>
            <w:r>
              <w:rPr>
                <w:rFonts w:hint="eastAsia" w:ascii="Arial"/>
                <w:sz w:val="21"/>
                <w:lang w:eastAsia="zh-CN"/>
              </w:rPr>
              <w:t>无</w:t>
            </w:r>
          </w:p>
        </w:tc>
      </w:tr>
    </w:tbl>
    <w:p w14:paraId="792EB81E">
      <w:pPr>
        <w:rPr>
          <w:rFonts w:ascii="Arial" w:hAnsi="Arial" w:eastAsia="宋体" w:cs="Arial"/>
          <w:color w:val="000000"/>
          <w:kern w:val="0"/>
          <w:szCs w:val="21"/>
          <w:shd w:val="clear" w:color="auto" w:fill="FFFFFF"/>
        </w:rPr>
      </w:pP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第四部分、名词解释</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一、财政拨款收入：指财政部门当年拨付的资金。</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二、事业收入：指事业单位开展专业业务活动及辅助活动所取得的收入。</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三、经营收入：指事业单位在专业业务活动及其辅助活动之外开展非独立核算经营活动取得的收入。</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四、其他收入：指除上述“财政拨款收入”、“事业收入”、“经营收入”等以外的收入。</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六、年初结转和结余：指以前年度尚未完成、结转到本年 按有关规定继续使用的资金。</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七、结余分配：指事业单位按规定提取的职工福利基金、事业基金和缴纳的所得税，以及建设单位按规定应交回的基本建设竣工项目结余资金。</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八、年末结转和结余：指本年度或以前年度预算安排、因客观条件发生变化无法按原计划实施，需要延迟到以后年度按有关规定继续使用的资金。</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九、基本支出：指为保障机构正常运转、完成日常工作任务而发生的人员支出和公用支出。</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十、项目支出：指在基本支出之外为完成特定行政任务和事业发展目标所发生的支出。</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十一、经营支出：指事业单位在专业业务活动及其辅助活动之外开展非独立核算经营活动发生的支出。</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4BB70F75"/>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21991104"/>
    <w:rsid w:val="00231369"/>
    <w:rsid w:val="003A7FF5"/>
    <w:rsid w:val="005B3305"/>
    <w:rsid w:val="005E3E95"/>
    <w:rsid w:val="006E2F89"/>
    <w:rsid w:val="00A35629"/>
    <w:rsid w:val="00C0436C"/>
    <w:rsid w:val="00C84E1C"/>
    <w:rsid w:val="00FC3C29"/>
    <w:rsid w:val="025B4E83"/>
    <w:rsid w:val="0FA12D05"/>
    <w:rsid w:val="126623E0"/>
    <w:rsid w:val="13615059"/>
    <w:rsid w:val="1C5A32BB"/>
    <w:rsid w:val="1F05015E"/>
    <w:rsid w:val="21991104"/>
    <w:rsid w:val="2AA86343"/>
    <w:rsid w:val="2BEC2CD3"/>
    <w:rsid w:val="342E71B9"/>
    <w:rsid w:val="3AA86DE5"/>
    <w:rsid w:val="419202B1"/>
    <w:rsid w:val="49101494"/>
    <w:rsid w:val="49EA0400"/>
    <w:rsid w:val="6184068B"/>
    <w:rsid w:val="649476E3"/>
    <w:rsid w:val="68225B6F"/>
    <w:rsid w:val="6DBE42D9"/>
    <w:rsid w:val="72723FAB"/>
    <w:rsid w:val="778E5FB5"/>
    <w:rsid w:val="77B259A3"/>
    <w:rsid w:val="7F59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3749</Words>
  <Characters>4255</Characters>
  <Lines>38</Lines>
  <Paragraphs>10</Paragraphs>
  <TotalTime>5</TotalTime>
  <ScaleCrop>false</ScaleCrop>
  <LinksUpToDate>false</LinksUpToDate>
  <CharactersWithSpaces>4419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2023-05-13T07:07:00Z</dcterms:created>
  <dc:creator>Administrator</dc:creator>
  <cp:lastModifiedBy>时间的尽头</cp:lastModifiedBy>
  <dcterms:modified xsi:type="dcterms:W3CDTF">2025-03-14T03:17:21Z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5FC0BD9E950B4F4E8541D655FE785331_11</vt:lpwstr>
  </property>
  <property fmtid="{D5CDD505-2E9C-101B-9397-08002B2CF9AE}" pid="4" name="KSOTemplateDocerSaveRecord">
    <vt:lpwstr>eyJoZGlkIjoiOTc4OTdhNTgyZmEzODBmNjY4YjAzM2FjZjRjYmE5ZDgiLCJ1c2VySWQiOiI1NTk0Mjk4NTAifQ==</vt:lpwstr>
  </property>
</Properties>
</file>