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黄石市实验中学2021年度部门决算及“三公”经费决算情况说明</w:t>
      </w:r>
      <w:r>
        <w:rPr>
          <w:rStyle w:val="4"/>
          <w:rFonts w:hint="default" w:ascii="Arial" w:hAnsi="Arial" w:eastAsia="宋体" w:cs="Arial"/>
          <w:i w:val="0"/>
          <w:iCs w:val="0"/>
          <w:caps w:val="0"/>
          <w:color w:val="222222"/>
          <w:spacing w:val="0"/>
          <w:sz w:val="33"/>
          <w:szCs w:val="33"/>
        </w:rPr>
        <w:br w:type="textWrapping"/>
      </w:r>
      <w:r>
        <w:rPr>
          <w:rStyle w:val="4"/>
          <w:rFonts w:hint="default" w:ascii="Arial" w:hAnsi="Arial" w:eastAsia="宋体" w:cs="Arial"/>
          <w:i w:val="0"/>
          <w:iCs w:val="0"/>
          <w:caps w:val="0"/>
          <w:color w:val="222222"/>
          <w:spacing w:val="0"/>
          <w:sz w:val="33"/>
          <w:szCs w:val="33"/>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1、机构设置情况：实验中学是归属下陆区教育局管理的二级预算单位，单位类型为公益一类事业单位。学校内设置党务办公室、德育办公室、行政办公室、总务处、各年级组办公室等处室。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120名，其中行政编制 0 名，事业编制 120名。2021年年末在职在编人员115人，区聘 13人，退伍安置0人，退休人员0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293995" cy="4667885"/>
            <wp:effectExtent l="0" t="0" r="1905" b="1841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93995" cy="466788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55590" cy="1219200"/>
            <wp:effectExtent l="0" t="0" r="1651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355590" cy="121920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00675" cy="1988820"/>
            <wp:effectExtent l="0" t="0" r="9525" b="1143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400675" cy="198882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08930" cy="4031615"/>
            <wp:effectExtent l="0" t="0" r="1270" b="698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408930" cy="403161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00675" cy="2249170"/>
            <wp:effectExtent l="0" t="0" r="9525" b="1778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8"/>
                    <a:stretch>
                      <a:fillRect/>
                    </a:stretch>
                  </pic:blipFill>
                  <pic:spPr>
                    <a:xfrm>
                      <a:off x="0" y="0"/>
                      <a:ext cx="5400675" cy="224917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12740" cy="3465195"/>
            <wp:effectExtent l="0" t="0" r="16510" b="190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9"/>
                    <a:stretch>
                      <a:fillRect/>
                    </a:stretch>
                  </pic:blipFill>
                  <pic:spPr>
                    <a:xfrm>
                      <a:off x="0" y="0"/>
                      <a:ext cx="5412740" cy="346519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10835" cy="1275080"/>
            <wp:effectExtent l="0" t="0" r="18415" b="127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0"/>
                    <a:stretch>
                      <a:fillRect/>
                    </a:stretch>
                  </pic:blipFill>
                  <pic:spPr>
                    <a:xfrm>
                      <a:off x="0" y="0"/>
                      <a:ext cx="5410835" cy="127508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76875" cy="1423670"/>
            <wp:effectExtent l="0" t="0" r="9525" b="508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a:stretch>
                      <a:fillRect/>
                    </a:stretch>
                  </pic:blipFill>
                  <pic:spPr>
                    <a:xfrm>
                      <a:off x="0" y="0"/>
                      <a:ext cx="5476875" cy="142367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bookmarkStart w:id="0" w:name="_GoBack"/>
      <w:r>
        <w:rPr>
          <w:rStyle w:val="4"/>
          <w:rFonts w:hint="default" w:ascii="Arial" w:hAnsi="Arial" w:eastAsia="宋体" w:cs="Arial"/>
          <w:i w:val="0"/>
          <w:iCs w:val="0"/>
          <w:caps w:val="0"/>
          <w:color w:val="222222"/>
          <w:spacing w:val="0"/>
          <w:sz w:val="24"/>
          <w:szCs w:val="24"/>
        </w:rPr>
        <w:drawing>
          <wp:inline distT="0" distB="0" distL="114300" distR="114300">
            <wp:extent cx="5505450" cy="2133600"/>
            <wp:effectExtent l="0" t="0" r="0" b="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12"/>
                    <a:stretch>
                      <a:fillRect/>
                    </a:stretch>
                  </pic:blipFill>
                  <pic:spPr>
                    <a:xfrm>
                      <a:off x="0" y="0"/>
                      <a:ext cx="5505450" cy="2133600"/>
                    </a:xfrm>
                    <a:prstGeom prst="rect">
                      <a:avLst/>
                    </a:prstGeom>
                    <a:noFill/>
                    <a:ln w="9525">
                      <a:noFill/>
                    </a:ln>
                  </pic:spPr>
                </pic:pic>
              </a:graphicData>
            </a:graphic>
          </wp:inline>
        </w:drawing>
      </w:r>
      <w:bookmarkEnd w:id="0"/>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2207.56万元，较2020年度决算总收入2271.82万元减少了64.26万元，主要原因是财政拨款收入减少。2021年度决算总支出合计2670.52万元，较2020年度决算总支出1785.73万元增加了884.79万元，主要是基本支出有所增加。</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2207.56万元，其中：财政拨款收入2087.59万元。占总收入的94.57%，其他收入119.97万元，占总收入的5.43%。2021年决算收入较上年收入2271.82万元减少64.26万元，降幅2.83%，主要原因在于年末财政将未使用完财政拨款全部收回。决算收入较年初预算收入1503.09万元增加706.47万元，增幅47.00%，主要原因在于增加了比较性绩效和学校道路单行线违停机的工程财政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2670.52万元，其中：基本支出2670.52万元，占总支出的100%，项目支出0万元。本年度总支出较上年度1785.73万元增加884.79万元，增幅49.55%，决算支出较年初预算支出1503.09万元1167.43万元，增幅77.66%，主要原因在于本年度增加了比较性绩效的支出和学校道路单行线违停机的工程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（1）工资及福利支出2188.31万元，主要用于职工基本工资、津贴、补贴、奖金、社会保障缴费支出；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（2）商品及服务支出404.71万元，主要用于办公费用、印刷费、水电费、电话费、劳务费、工会福利费、交通费、委托业务费、维修费、专用材料费等支出；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（3）对个人和家庭的补助支出8.87万元；主要用于退休费、抚恤金、生活补助等支出；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（4）其它资本性支出68.63万元；主要用于办公设备购置。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2087.59万元，同比减少0.05%，原因在于本年度年末财政收回未使用完财政拨款资金。2021年财政拨款支出总计2546.91万元，与年初预算数1503.09万元相比增加1043.82万元，原因是增加了比较性绩效的支出。与2020年决算数1627.65万元相比增加9149.26万元，主要原因在于本年度增加了比较性绩效的支出和学校道路单行线违停机的工程财政拨款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1503.09万元，支出年末决算数为2546.91万元，较2020年决算数增加919.26万元，增幅56.48%。与2021年预算数相比增加1043.82万元，原因是本年度增加了比较性绩效的支出和学校道路单行线违停机的工程财政拨款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按支出功能分类，初中教育支出决算为2541.24万元，较上年增加936.01万元，增幅58.31%；其他社会保障和就业支出5.67万元，较上年减少16.36万元，降幅74.26%。住房保障支出0万元，较上年减少0.39万元。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2021年一般公共预算财政拨款基本支出2546.91万元，较上年增加919.26万元，增幅56.48%。</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2096.86万元，较上年增加704.79万元，增幅50.63%。人员经费主要包括：基本工资、津贴补贴、奖金、社会保险缴费、离退休费、住房公积金、职业年金、机关事业单位养老保险等支出。日常公用经费支出450.05万元，较上年增加214.47万元，增幅91.04%。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shd w:val="clear" w:fill="FFFFFF"/>
        </w:rPr>
        <w:t> </w:t>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2021我单位政府预算采购计划金额为1101万元，计划用于购买货物 207万元，工程850万元，服务44万元</w:t>
      </w:r>
      <w:r>
        <w:rPr>
          <w:rFonts w:hint="default" w:ascii="Arial" w:hAnsi="Arial" w:eastAsia="宋体" w:cs="Arial"/>
          <w:i w:val="0"/>
          <w:iCs w:val="0"/>
          <w:caps w:val="0"/>
          <w:color w:val="222222"/>
          <w:spacing w:val="0"/>
          <w:sz w:val="27"/>
          <w:szCs w:val="27"/>
        </w:rPr>
        <w:t>。 </w:t>
      </w:r>
      <w:r>
        <w:rPr>
          <w:rFonts w:hint="default" w:ascii="Arial" w:hAnsi="Arial" w:eastAsia="宋体" w:cs="Arial"/>
          <w:i w:val="0"/>
          <w:iCs w:val="0"/>
          <w:caps w:val="0"/>
          <w:color w:val="222222"/>
          <w:spacing w:val="0"/>
          <w:sz w:val="24"/>
          <w:szCs w:val="24"/>
        </w:rPr>
        <w:t>实际采购金额48.88万元，其中一般公共预算48.88万元，其他资金0万元；主要用于购买货物31.81万元，工程17.07万元，服务0万元。政府采购支出总额比2020年度79.21万元减少30.33万元，降幅62.05%，主要原因是本年度学校改扩建工程支出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2021年度我单位共占有车辆数0台，其中：一般公务用车0台，一般执法执勤车辆0台；单价50万元以上通用设备1台；单价100万元以上专用设备0台。其他固定资产（不包含房屋）2641.77万元。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000B09C6"/>
    <w:rsid w:val="000B0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2023-08-18T07:01:00Z</dcterms:created>
  <dc:creator>氕氘氚~</dc:creator>
  <cp:lastModifiedBy>氕氘氚~</cp:lastModifiedBy>
  <dcterms:modified xsi:type="dcterms:W3CDTF">2023-08-18T07:06:01Z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4597EBE323F843E88236D1D28BCAF895_11</vt:lpwstr>
  </property>
</Properties>
</file>