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default" w:ascii="Arial" w:hAnsi="Arial" w:eastAsia="宋体" w:cs="Arial"/>
          <w:i w:val="0"/>
          <w:iCs w:val="0"/>
          <w:caps w:val="0"/>
          <w:color w:val="222222"/>
          <w:spacing w:val="0"/>
          <w:sz w:val="33"/>
          <w:szCs w:val="33"/>
        </w:rPr>
      </w:pPr>
      <w:r>
        <w:rPr>
          <w:rStyle w:val="4"/>
          <w:rFonts w:ascii="Arial" w:hAnsi="Arial" w:eastAsia="宋体" w:cs="Arial"/>
          <w:i w:val="0"/>
          <w:iCs w:val="0"/>
          <w:caps w:val="0"/>
          <w:color w:val="222222"/>
          <w:spacing w:val="0"/>
          <w:sz w:val="33"/>
          <w:szCs w:val="33"/>
        </w:rPr>
        <w:t>                                   目           录</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二、部门机构设置情况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二、收入决算表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四、财政拨款收入支出决算总表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五、一般公共预算财政拨款支出决算表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六、一般公共预算财政拨款基本支出决算表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八、政府性基金预算财政拨款收入支出决算表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九、国有资本经营预算财政拨款支出决算表</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33"/>
          <w:szCs w:val="33"/>
        </w:rPr>
        <w:t xml:space="preserve">    </w:t>
      </w:r>
    </w:p>
    <w:p>
      <w:pPr>
        <w:ind w:firstLine="562" w:firstLineChars="200"/>
      </w:pPr>
      <w:r>
        <w:rPr>
          <w:rStyle w:val="4"/>
          <w:rFonts w:hint="default" w:ascii="Arial" w:hAnsi="Arial" w:eastAsia="宋体" w:cs="Arial"/>
          <w:i w:val="0"/>
          <w:iCs w:val="0"/>
          <w:caps w:val="0"/>
          <w:color w:val="222222"/>
          <w:spacing w:val="0"/>
          <w:sz w:val="28"/>
          <w:szCs w:val="28"/>
        </w:rPr>
        <w:t>黄石市有色小学2021年度部门决算及“三公”经费决算情况说明</w:t>
      </w:r>
      <w:r>
        <w:rPr>
          <w:rStyle w:val="4"/>
          <w:rFonts w:hint="default" w:ascii="Arial" w:hAnsi="Arial" w:eastAsia="宋体" w:cs="Arial"/>
          <w:i w:val="0"/>
          <w:iCs w:val="0"/>
          <w:caps w:val="0"/>
          <w:color w:val="222222"/>
          <w:spacing w:val="0"/>
          <w:sz w:val="28"/>
          <w:szCs w:val="28"/>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w:t>
      </w:r>
      <w:r>
        <w:rPr>
          <w:rFonts w:hint="default" w:ascii="Arial" w:hAnsi="Arial" w:eastAsia="宋体" w:cs="Arial"/>
          <w:i w:val="0"/>
          <w:iCs w:val="0"/>
          <w:caps w:val="0"/>
          <w:color w:val="222222"/>
          <w:spacing w:val="0"/>
          <w:sz w:val="24"/>
          <w:szCs w:val="24"/>
        </w:rPr>
        <w:t>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1、执行上级财政政策，严格按照上级财政政策办事。</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2、承担单位各项财政收支管理的责任。负责编制年度预决算草案并组织公开。</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3、执行管理单位财务工作，依法制定财务管理制度和办法，防范财政风险。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4、负责监督和规范财务行为，执行国家会计法律、法规、会计准则和会计制度。</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二、部门机构设置情况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1、机构设置情况：有色小学是归属下陆区教育局管理的二级预算单位，单位类型为公益一类事业单位。学校内设置党务办公室、德育办公室、行政办公室、总务处、各年级组办公室等处室。</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2、编制情况：本单位核定编制数为 123名，其中行政编制 0 名，事业编制 123名。2021年年末在职在编人员121人，区聘 1人，退伍安置0人，退休人员0 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drawing>
          <wp:inline distT="0" distB="0" distL="114300" distR="114300">
            <wp:extent cx="5244465" cy="4624070"/>
            <wp:effectExtent l="0" t="0" r="13335" b="508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5244465" cy="462407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40020" cy="1193165"/>
            <wp:effectExtent l="0" t="0" r="17780" b="6985"/>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5"/>
                    <a:stretch>
                      <a:fillRect/>
                    </a:stretch>
                  </pic:blipFill>
                  <pic:spPr>
                    <a:xfrm>
                      <a:off x="0" y="0"/>
                      <a:ext cx="5240020" cy="119316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49545" cy="1934210"/>
            <wp:effectExtent l="0" t="0" r="8255" b="8890"/>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6"/>
                    <a:stretch>
                      <a:fillRect/>
                    </a:stretch>
                  </pic:blipFill>
                  <pic:spPr>
                    <a:xfrm>
                      <a:off x="0" y="0"/>
                      <a:ext cx="5249545" cy="193421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47005" cy="3911600"/>
            <wp:effectExtent l="0" t="0" r="10795" b="1270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7"/>
                    <a:stretch>
                      <a:fillRect/>
                    </a:stretch>
                  </pic:blipFill>
                  <pic:spPr>
                    <a:xfrm>
                      <a:off x="0" y="0"/>
                      <a:ext cx="5247005" cy="391160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59705" cy="2190750"/>
            <wp:effectExtent l="0" t="0" r="17145"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259705" cy="219075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94630" cy="3388995"/>
            <wp:effectExtent l="0" t="0" r="1270" b="1905"/>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9"/>
                    <a:stretch>
                      <a:fillRect/>
                    </a:stretch>
                  </pic:blipFill>
                  <pic:spPr>
                    <a:xfrm>
                      <a:off x="0" y="0"/>
                      <a:ext cx="5294630" cy="338899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24475" cy="1145540"/>
            <wp:effectExtent l="0" t="0" r="9525" b="1651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10"/>
                    <a:stretch>
                      <a:fillRect/>
                    </a:stretch>
                  </pic:blipFill>
                  <pic:spPr>
                    <a:xfrm>
                      <a:off x="0" y="0"/>
                      <a:ext cx="5324475" cy="114554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bookmarkStart w:id="0" w:name="_GoBack"/>
      <w:r>
        <w:rPr>
          <w:rStyle w:val="4"/>
          <w:rFonts w:hint="default" w:ascii="Arial" w:hAnsi="Arial" w:eastAsia="宋体" w:cs="Arial"/>
          <w:i w:val="0"/>
          <w:iCs w:val="0"/>
          <w:caps w:val="0"/>
          <w:color w:val="222222"/>
          <w:spacing w:val="0"/>
          <w:sz w:val="24"/>
          <w:szCs w:val="24"/>
        </w:rPr>
        <w:drawing>
          <wp:inline distT="0" distB="0" distL="114300" distR="114300">
            <wp:extent cx="5371465" cy="1305560"/>
            <wp:effectExtent l="0" t="0" r="635" b="8890"/>
            <wp:docPr id="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IMG_263"/>
                    <pic:cNvPicPr>
                      <a:picLocks noChangeAspect="1"/>
                    </pic:cNvPicPr>
                  </pic:nvPicPr>
                  <pic:blipFill>
                    <a:blip r:embed="rId11"/>
                    <a:stretch>
                      <a:fillRect/>
                    </a:stretch>
                  </pic:blipFill>
                  <pic:spPr>
                    <a:xfrm>
                      <a:off x="0" y="0"/>
                      <a:ext cx="5371465" cy="1305560"/>
                    </a:xfrm>
                    <a:prstGeom prst="rect">
                      <a:avLst/>
                    </a:prstGeom>
                    <a:noFill/>
                    <a:ln w="9525">
                      <a:noFill/>
                    </a:ln>
                  </pic:spPr>
                </pic:pic>
              </a:graphicData>
            </a:graphic>
          </wp:inline>
        </w:drawing>
      </w:r>
      <w:bookmarkEnd w:id="0"/>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65115" cy="2125980"/>
            <wp:effectExtent l="0" t="0" r="6985" b="7620"/>
            <wp:docPr id="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IMG_264"/>
                    <pic:cNvPicPr>
                      <a:picLocks noChangeAspect="1"/>
                    </pic:cNvPicPr>
                  </pic:nvPicPr>
                  <pic:blipFill>
                    <a:blip r:embed="rId12"/>
                    <a:stretch>
                      <a:fillRect/>
                    </a:stretch>
                  </pic:blipFill>
                  <pic:spPr>
                    <a:xfrm>
                      <a:off x="0" y="0"/>
                      <a:ext cx="5365115" cy="212598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总收入合计2257.70万元，较2020年度决算总收入2283.47万元减少了25.77万元，主要原因是财政拨款收入减少。2021年度决算总支出合计2355.20万元，较2020年度决算总支出2237.02万元增加了118.18万元，主要是基本支出有所增加。</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收入合计2257.70万元，其中：财政拨款收入2170.53万元，占总收入的96.14%，其他收入87.17万元，占总收入的3.86%。2021年决算收入较上年收入2283.47万元减少25.77万元，降幅1.13%，主要原因在于年末财政将未使用完财政拨款全部收回。决算收入较年初预算收入1692.46万元增加565.24万元，增幅33.40%，主要原因在于本年度增加了比较性绩效的拨款收入。</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支出2355.20万元，其中：基本支出2355.20万元，占总支出的100%，项目支出0万元。本年度总支出较上年度2237.02万元增加118.18万元，增幅5.28%，主要原因在于本年度增加了比较性绩效的支出，人员经费增加。决算支出较年初预算支出1692.46万元增加662.74万元，增幅39.16%，主要原因在于本年度增加了比较性绩效的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基本支出主要用于：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（1）工资及福利支出1963.73万元，主要用于职工基本工资、津贴、补贴、奖金、社会保障缴费支出；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（2）商品及服务支出261.47万元，主要用于办公费用、印刷费、水电费、电话费、劳务费、工会福利费、交通费、委托业务费、维修费、专用材料费等支出；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（3）对个人和家庭的补助支出41.35万元；主要用于退休费、抚恤金、生活补助等支出；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（4）资本性支出88.65万元；主要用于办公设备购置。</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财政拨款收入总计2170.53万元，同比减少2.17%，主要原因在于年末财政将未使用完财政拨款全部收回。2021年财政拨款支出总计2255.16万元，与年初预算数1692.46万元相比增加562.70万元，原因是本年度增加了比较性绩效的支出，人员经费增加。与2020年决算数2197.19万元相比增加57.97万元，主要原因在于本年度增加了比较性绩效的支出，人员经费增加，财政拨款支出增加。</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支出年初预算数为1692.46万元，支出年末决算数为2255.16万元，较2020年决算数增加57.97万元，增幅2.64%。与2021年预算数相比增加562.7万元，原因是本年度增加了比较性绩效的支出，人员经费增加。</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按支出功能分类，小学教育支出决算为2248.07万元，较上年增加50.88万元，增幅2.32%。社会保障和就业支出7.09万元，较上年增加7.09万元。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2021年一般公共预算财政拨款基本支出2255.16万元，较上年增加57.97万元，增幅2.64%。</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其中，人员经费支出1978.70万元，较上年增加73.68万元，增幅3.87%。人员经费主要包括：基本工资、津贴补贴、奖金、社会保险缴费、离退休费、住房公积金、职业年金、机关事业单位养老保险等支出。日常公用经费支出276.46万元，较上年减少15.71万元，降幅5.38%。日常公用经费主要包括：办公费、印刷费、水费、电费、邮电费、物业管理费、差旅费、维修（护）费、租赁费、会议费、培训费、劳务费、工会经费、福利费、其他交通费、其他商品和服务支出、办公设备购置等。</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2021年度“三公”经费支出决算数为0万元，与2020年支出决算数0万元持平。与2021年预算0万元持平，原因系单位严格执行相关规定，节约费用开支。其中: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因公出国（境）费用支出决算为0万元，团组数为0组，人数为0人。与2020年决算数0万元相比持平，原因是我单位无因公出国（境）费用发生。与2021年预算数0万元相比持平，原因是我单位无因公出国（境）费用发生。</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2、2021年公务用车购置及运行维护费支出决算数为0万元，与2020年支出决算数相比持平，原因是本单位无公务用车。与2021年预算数相比持平，原因是本单位无公务用车。其中：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（1）我单位公务用车购置费为0万元，车型为：无 ，本年度公务用车购置数0辆，公务用车保有量为0台。与2020年决算数0万元相比持平，原因是单位未购置公务用车。与2021年预算数0万元相比持平，原因是本单位无此预算。。</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（2）公务用车运行维护费0万元。与2020年支出决算数相比持平，与2021年预算数相比持平，原因是本单位无公务用车。</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公务接待支出决算数为0万元，共接待0批次、0人。与2021年预算数0万元持平，原因是本单位无公务接待预算，与2020年支出决算数0万元相比持平，主要原因：单位认真贯彻落实厉行节约精神，进一步从严控制公务接待经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Style w:val="4"/>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2021年度机关运行经费0万元，与2021年预算数持平，原因是本单位是事业单位，没有机关运行经费。与2020年决算数0万元持平。原因是本单位是事业单位，没有机关运行经费。</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2021年度我单位政府采购预算数为22.33万元，计划用于购买货物5.6 万元，工程7.06万元，服务9.67万元。实际采购金额16.36万元，其中一般公共预算16.36万元，其他资金0万元；主要用于购买货物16.36万元，工程0万元，服务0万元。政府采购支出总额比2020年119.84万元减少103.48万元，降幅86.35%，主要原因是学校改扩建工程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2021年度我单位共占有车辆数0台，其中：一般公务用车0台，一般执法执勤车辆0台；单价50万元以上通用设备3台；单价100万元以上专用设备0台。其他固定资产（不包含房屋）1063.15万元。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本单位2021年无举借政府债务、无扶贫专项资金、无政府性基金预算收支、无财政专项支出、无专项转移支付。</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本单位无项目支出，全年预算均为基本支出，未设置预算绩效目标。</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一、财政拨款收入：指财政部门当年拨付的资金。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二、事业收入：指事业单位开展专业业务活动及辅助活动所取得的收入。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四、其他收入：指除上述“财政拨款收入”、“事业收入”、“经营收入”等以外的收入。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六、年初结转和结余：指以前年度尚未完成、结转到本年 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九、基本支出：指为保障机构正常运转、完成日常工作任务而发生的人员支出和公用支出。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十、项目支出：指在基本支出之外为完成特定行政任务和事业发展目标所发生的支出。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hMTRiZWUwM2YzMjcxNmU5ZTVkZGU5ODEzMDIifQ=="/>
  </w:docVars>
  <w:rsids>
    <w:rsidRoot w:val="132E5EF4"/>
    <w:rsid w:val="132E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2023-08-21T01:18:00Z</dcterms:created>
  <dc:creator>氕氘氚~</dc:creator>
  <cp:lastModifiedBy>氕氘氚~</cp:lastModifiedBy>
  <dcterms:modified xsi:type="dcterms:W3CDTF">2023-08-21T01:22:29Z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2F5F463EF13F4274B28D30E0C5440611_11</vt:lpwstr>
  </property>
</Properties>
</file>