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0003"/>
        </w:tabs>
        <w:kinsoku/>
        <w:wordWrap/>
        <w:overflowPunct/>
        <w:topLinePunct w:val="0"/>
        <w:bidi w:val="0"/>
        <w:spacing w:before="0" w:line="560" w:lineRule="exact"/>
        <w:ind w:left="112" w:right="0" w:firstLine="0"/>
        <w:jc w:val="lef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附表3：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sz w:val="30"/>
          <w:szCs w:val="30"/>
          <w:lang w:val="en-US" w:eastAsia="zh-CN"/>
        </w:rPr>
        <w:t>无证行为执法查处数据统计表</w:t>
      </w:r>
    </w:p>
    <w:bookmarkEnd w:id="0"/>
    <w:p>
      <w:pPr>
        <w:ind w:firstLine="300" w:firstLineChars="1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填报单位：</w:t>
      </w:r>
    </w:p>
    <w:tbl>
      <w:tblPr>
        <w:tblStyle w:val="2"/>
        <w:tblpPr w:leftFromText="180" w:rightFromText="180" w:vertAnchor="text" w:horzAnchor="page" w:tblpX="1394" w:tblpY="68"/>
        <w:tblOverlap w:val="never"/>
        <w:tblW w:w="141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4339"/>
        <w:gridCol w:w="1384"/>
        <w:gridCol w:w="3011"/>
        <w:gridCol w:w="1680"/>
        <w:gridCol w:w="826"/>
        <w:gridCol w:w="2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85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433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无证制售强制性产品行为查处案例综述</w:t>
            </w:r>
          </w:p>
        </w:tc>
        <w:tc>
          <w:tcPr>
            <w:tcW w:w="13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1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涉及企业数</w:t>
            </w:r>
          </w:p>
        </w:tc>
        <w:tc>
          <w:tcPr>
            <w:tcW w:w="30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3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涉及 CCC 名录内产品种类</w:t>
            </w:r>
          </w:p>
        </w:tc>
        <w:tc>
          <w:tcPr>
            <w:tcW w:w="16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2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涉及产品总批次数</w:t>
            </w:r>
          </w:p>
        </w:tc>
        <w:tc>
          <w:tcPr>
            <w:tcW w:w="8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1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涉案货值</w:t>
            </w: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left="157" w:right="16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处罚金额合计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left="157" w:right="16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5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3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5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3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5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3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5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3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5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3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5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3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5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3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5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3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D2C64"/>
    <w:rsid w:val="477D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2020-01-19T03:03:00Z</dcterms:created>
  <dc:creator>莳裥dě烬頭</dc:creator>
  <cp:lastModifiedBy>莳裥dě烬頭</cp:lastModifiedBy>
  <dcterms:modified xsi:type="dcterms:W3CDTF">2020-01-19T03:04:08Z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