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sz w:val="36"/>
        </w:rPr>
      </w:pPr>
      <w:bookmarkStart w:id="0" w:name="_GoBack"/>
      <w:r>
        <w:rPr>
          <w:b/>
          <w:sz w:val="36"/>
        </w:rPr>
        <w:t>开展食品药品安全损害群众利益专项整治工作进展情况报表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2019年  月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填报单位：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填报时间：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  <w:jc w:val="center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工 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进 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情 况</w:t>
            </w:r>
          </w:p>
        </w:tc>
        <w:tc>
          <w:tcPr>
            <w:tcW w:w="7457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问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题线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索情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况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问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题类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型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发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现问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题数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改问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题数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处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理人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数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其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中党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纪政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务处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理人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数</w:t>
            </w: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涉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及金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额（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万元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退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款金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额（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万元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  <w:jc w:val="center"/>
        </w:trPr>
        <w:tc>
          <w:tcPr>
            <w:tcW w:w="10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36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填报人：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分管领导：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0551E"/>
    <w:rsid w:val="2C10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2020-01-20T04:13:00Z</dcterms:created>
  <dc:creator>时间的尽头</dc:creator>
  <cp:lastModifiedBy>时间的尽头</cp:lastModifiedBy>
  <dcterms:modified xsi:type="dcterms:W3CDTF">2020-01-20T04:14:14Z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